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89" w:after="0"/>
        <w:ind w:left="1191" w:right="0" w:hanging="0"/>
        <w:jc w:val="center"/>
        <w:rPr>
          <w:rFonts w:ascii="Times New Roman" w:hAnsi="Times New Roman"/>
          <w:sz w:val="22"/>
          <w:szCs w:val="22"/>
        </w:rPr>
      </w:pPr>
      <w:r>
        <w:rPr>
          <w:b/>
          <w:bCs/>
          <w:sz w:val="22"/>
          <w:szCs w:val="22"/>
          <w:lang w:val="pt-BR"/>
        </w:rPr>
        <w:t>INSTRUÇÃO NORMATIVA 01/2024</w:t>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Normal"/>
        <w:widowControl w:val="false"/>
        <w:suppressAutoHyphens w:val="true"/>
        <w:bidi w:val="0"/>
        <w:spacing w:lineRule="auto" w:line="240" w:before="0" w:after="0"/>
        <w:ind w:left="3402" w:right="0" w:hanging="0"/>
        <w:jc w:val="both"/>
        <w:rPr>
          <w:rFonts w:ascii="Times New Roman" w:hAnsi="Times New Roman"/>
          <w:sz w:val="22"/>
          <w:szCs w:val="22"/>
        </w:rPr>
      </w:pPr>
      <w:r>
        <w:rPr>
          <w:b w:val="false"/>
          <w:bCs w:val="false"/>
          <w:i w:val="false"/>
          <w:caps w:val="false"/>
          <w:smallCaps w:val="false"/>
          <w:color w:val="162937"/>
          <w:spacing w:val="0"/>
          <w:sz w:val="22"/>
          <w:szCs w:val="22"/>
        </w:rPr>
        <w:t>NORMATIZA AS CONTRATA</w:t>
      </w:r>
      <w:r>
        <w:rPr>
          <w:b w:val="false"/>
          <w:bCs w:val="false"/>
          <w:sz w:val="22"/>
          <w:szCs w:val="22"/>
        </w:rPr>
        <w:t>ÇÕES DIRETAS DE QUE TRATA A LEI FEDERAL Nº 14.133/2021, QUE DISPÕE SOBRE LICITAÇÕES E CONTRATOS ADMINISTR</w:t>
      </w:r>
      <w:r>
        <w:rPr>
          <w:b w:val="false"/>
          <w:bCs w:val="false"/>
          <w:sz w:val="22"/>
          <w:szCs w:val="22"/>
          <w:shd w:fill="auto" w:val="clear"/>
        </w:rPr>
        <w:t>ATIVOS DA CÂMARA MUNICIPAL DE SANTANA DA VARGEM – MINAS GERAIS</w:t>
      </w:r>
    </w:p>
    <w:p>
      <w:pPr>
        <w:pStyle w:val="Corpodotexto"/>
        <w:widowControl w:val="false"/>
        <w:suppressAutoHyphens w:val="true"/>
        <w:bidi w:val="0"/>
        <w:spacing w:lineRule="auto" w:line="240" w:before="0" w:after="0"/>
        <w:ind w:left="2835"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CONSIDERANDO a Lei Federal n° 14.133, de 1º de abril de 2021 (Lei de Licitações e Contratos Administrativos);</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 xml:space="preserve">CONSIDERANDO o </w:t>
      </w:r>
      <w:r>
        <w:rPr>
          <w:color w:val="650953"/>
          <w:sz w:val="22"/>
          <w:szCs w:val="22"/>
          <w:shd w:fill="A1467E" w:val="clear"/>
        </w:rPr>
        <w:t xml:space="preserve">Decreto XXXXX de XXXX de XXXX </w:t>
      </w:r>
      <w:r>
        <w:rPr>
          <w:sz w:val="22"/>
          <w:szCs w:val="22"/>
        </w:rPr>
        <w:t>que regulamenta a Lei Federal nº 14.133 de 1º de abril de 2021, que dispõe sobre Licitações e contratos administrativos, no âmbito da Câmara Municipal de Santana da Vargem/MG.</w:t>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Normal"/>
        <w:spacing w:lineRule="auto" w:line="240"/>
        <w:jc w:val="center"/>
        <w:rPr>
          <w:rFonts w:ascii="Times New Roman" w:hAnsi="Times New Roman"/>
          <w:sz w:val="22"/>
          <w:szCs w:val="22"/>
        </w:rPr>
      </w:pPr>
      <w:r>
        <w:rPr>
          <w:b/>
          <w:bCs/>
          <w:sz w:val="22"/>
          <w:szCs w:val="22"/>
        </w:rPr>
        <w:t>NORMATIZA</w:t>
      </w:r>
    </w:p>
    <w:p>
      <w:pPr>
        <w:pStyle w:val="Normal"/>
        <w:spacing w:lineRule="auto" w:line="240"/>
        <w:jc w:val="both"/>
        <w:rPr>
          <w:rFonts w:ascii="Times New Roman" w:hAnsi="Times New Roman"/>
          <w:b/>
          <w:b/>
          <w:bCs/>
          <w:sz w:val="22"/>
          <w:szCs w:val="22"/>
        </w:rPr>
      </w:pPr>
      <w:r>
        <w:rPr>
          <w:b/>
          <w:bCs/>
          <w:sz w:val="22"/>
          <w:szCs w:val="22"/>
        </w:rPr>
      </w:r>
    </w:p>
    <w:p>
      <w:pPr>
        <w:pStyle w:val="Normal"/>
        <w:spacing w:lineRule="auto" w:line="240"/>
        <w:jc w:val="both"/>
        <w:rPr>
          <w:rFonts w:ascii="Times New Roman" w:hAnsi="Times New Roman"/>
          <w:sz w:val="22"/>
          <w:szCs w:val="22"/>
        </w:rPr>
      </w:pPr>
      <w:r>
        <w:rPr>
          <w:sz w:val="22"/>
          <w:szCs w:val="22"/>
        </w:rPr>
        <w:t>Art. 1º – Esta Instrução normatiza os procedimentos de contratações por Dispensa de Licitação e inexigibilidades com a utilização da Lei Federal nº 14.133 de 1º de abril de 2021, que dispõe sobre licitações e contratos administrativos, no âmbito da Câmara Municipal de Santana da Vargem/MG.</w:t>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b w:val="false"/>
          <w:bCs w:val="false"/>
          <w:sz w:val="22"/>
          <w:szCs w:val="22"/>
        </w:rPr>
        <w:t>Art. 2º – O processo de contratação direta, que compreende os casos de inexigibilidade e dispensa de licitação definidos na Lei nº 14.133/2021, deverá ser instruído com os seguintes documentos:</w:t>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 Documento de oficialização da demanda (Solicitação de Compra);</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2. Portaria de nomeação da comissão de compras/contratação;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3. Autorização, através de manifestação expressa no processo, da autoridade competente para contratação ou portaria de autorização de abertura de processo;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4. Estimativa de Despesa emitida pelo setor contábil, que deverá ser calculada na forma estabelecida na Lei nº 14.133 de 1º de abril de 2021, bem como, emitindo Certidão nos autos do processo;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 xml:space="preserve">5. Documento do estudo técnico preliminar; </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 xml:space="preserve">6. Documento da análise de risco, se for o caso; </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7. Termo de referência, Projeto Básico ou Memorial descritivo se for o caso;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8. Formalização da pesquisa de preços e seus anexos, que deverá ser calculada conforme o disposto no art. 23 da Lei federal nº 14.133, de 2021;</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8. Confecção da Intenção/Edital de Dispensa/inex, indicando os recursos orçamentários a serem utilizados. O aviso de intenção de contratação deverá conter a busca de preços realizada pela Câmara Municipal, e que se divulgará os menores preços obtidos, pelo prazo mínimo de 3 (três) dias úteis, com especificação do objeto pretendido com o interesse em obter propostas adicionais de eventuais interessados, devendo ser selecionada a proposta mais vantajosa;</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sz w:val="22"/>
          <w:szCs w:val="22"/>
          <w:shd w:fill="auto" w:val="clear"/>
        </w:rPr>
        <w:t xml:space="preserve">9. Divulgação do resumo da intenção da Dispensa/Inex do item acima, mediante a publicação no Portal Nacional de Compras Públicas (PNCP), no site do oficial da Câmara Municipal(transparência), Diário Oficial do Município, pelo prazo mínimo de 3 (três) dias úteis; </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 xml:space="preserve">10. Justificativa para a dispensa/Inex ou documento que comprovem a inviabilidade de competição, ou fornecedor exclusivo, a Razão da escolha do contratado e Justificativa de preço; </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11. Documentos de Habilitação: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11.1 Contrato social ou estatuto;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11.2 Certidão de regularidade Fiscal: Federal, Estadual, Municipal, FGTS e Trabalhista;</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11.3 Atestado de capacidade técnica quando for o caso;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11.4 Comprovação de situação econômica, quando for o caso;</w:t>
      </w:r>
    </w:p>
    <w:p>
      <w:pPr>
        <w:pStyle w:val="Corpodotexto"/>
        <w:widowControl w:val="false"/>
        <w:suppressAutoHyphens w:val="true"/>
        <w:bidi w:val="0"/>
        <w:spacing w:lineRule="auto" w:line="240" w:before="0" w:after="0"/>
        <w:ind w:left="0" w:right="0" w:hanging="0"/>
        <w:jc w:val="both"/>
        <w:rPr/>
      </w:pPr>
      <w:r>
        <w:rPr>
          <w:b w:val="false"/>
          <w:bCs w:val="false"/>
          <w:sz w:val="22"/>
          <w:szCs w:val="22"/>
          <w:shd w:fill="auto" w:val="clear"/>
        </w:rPr>
        <w:t xml:space="preserve">11.5 Comprovação de consulta da idoneidade do fornecedor (sugestão </w:t>
      </w:r>
      <w:hyperlink r:id="rId2">
        <w:r>
          <w:rPr>
            <w:rStyle w:val="LinkdaInternet"/>
            <w:b w:val="false"/>
            <w:bCs w:val="false"/>
            <w:sz w:val="22"/>
            <w:szCs w:val="22"/>
            <w:shd w:fill="auto" w:val="clear"/>
          </w:rPr>
          <w:t>http://www.cnj.jus.br</w:t>
        </w:r>
      </w:hyperlink>
      <w:r>
        <w:rPr>
          <w:b w:val="false"/>
          <w:bCs w:val="false"/>
          <w:sz w:val="22"/>
          <w:szCs w:val="22"/>
          <w:shd w:fill="auto" w:val="clear"/>
        </w:rPr>
        <w:t>);</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highlight w:val="none"/>
          <w:shd w:fill="auto" w:val="clear"/>
        </w:rPr>
      </w:pPr>
      <w:r>
        <w:rPr>
          <w:b w:val="false"/>
          <w:bCs w:val="false"/>
          <w:sz w:val="22"/>
          <w:szCs w:val="22"/>
          <w:shd w:fill="auto" w:val="clear"/>
        </w:rPr>
        <w:t>11.6 Declaração de Conformidade emitida pelo fornecedor;</w:t>
      </w:r>
    </w:p>
    <w:p>
      <w:pPr>
        <w:pStyle w:val="Corpodotexto"/>
        <w:widowControl w:val="false"/>
        <w:suppressAutoHyphens w:val="true"/>
        <w:bidi w:val="0"/>
        <w:spacing w:lineRule="auto" w:line="240" w:before="0" w:after="0"/>
        <w:ind w:left="0" w:right="0" w:hanging="0"/>
        <w:jc w:val="both"/>
        <w:rPr>
          <w:rFonts w:ascii="Times New Roman" w:hAnsi="Times New Roman"/>
          <w:b w:val="false"/>
          <w:b w:val="false"/>
          <w:bCs w:val="false"/>
          <w:sz w:val="22"/>
          <w:szCs w:val="22"/>
          <w:highlight w:val="none"/>
          <w:shd w:fill="auto" w:val="clear"/>
        </w:rPr>
      </w:pPr>
      <w:r>
        <w:rPr>
          <w:b w:val="false"/>
          <w:bCs w:val="false"/>
          <w:sz w:val="22"/>
          <w:szCs w:val="22"/>
          <w:shd w:fill="auto" w:val="clear"/>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12. Requisitos específicos:</w:t>
      </w:r>
    </w:p>
    <w:p>
      <w:pPr>
        <w:pStyle w:val="Corpodotexto"/>
        <w:widowControl w:val="false"/>
        <w:suppressAutoHyphens w:val="true"/>
        <w:bidi w:val="0"/>
        <w:spacing w:lineRule="auto" w:line="240" w:before="0" w:after="0"/>
        <w:ind w:left="0" w:right="0" w:hanging="0"/>
        <w:jc w:val="both"/>
        <w:rPr>
          <w:highlight w:val="none"/>
          <w:shd w:fill="auto" w:val="clear"/>
        </w:rPr>
      </w:pPr>
      <w:r>
        <w:rPr>
          <w:b w:val="false"/>
          <w:bCs w:val="false"/>
          <w:sz w:val="22"/>
          <w:szCs w:val="22"/>
          <w:shd w:fill="auto" w:val="clear"/>
        </w:rPr>
        <w:t>12.1Em contratações de dispensa por valor, anexar aos autos, declaração que demonstre não existir fracionamento de objeto.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12.2 Em Dispensas para aquisição/contratação de objetos oriundos de licitações fracassadas, deverá ser anexado o TR ou Projeto Básico do processo original, ata da sessão fracassada e as exigências da qualificação descrito no edital original.</w:t>
      </w:r>
    </w:p>
    <w:p>
      <w:pPr>
        <w:pStyle w:val="Corpodotexto"/>
        <w:widowControl w:val="false"/>
        <w:suppressAutoHyphens w:val="true"/>
        <w:bidi w:val="0"/>
        <w:spacing w:lineRule="auto" w:line="240" w:before="0" w:after="0"/>
        <w:ind w:left="0" w:right="0" w:hanging="0"/>
        <w:jc w:val="both"/>
        <w:rPr>
          <w:rFonts w:ascii="Times New Roman" w:hAnsi="Times New Roman"/>
          <w:b w:val="false"/>
          <w:b w:val="false"/>
          <w:bCs w:val="false"/>
          <w:sz w:val="22"/>
          <w:szCs w:val="22"/>
        </w:rPr>
      </w:pPr>
      <w:r>
        <w:rPr>
          <w:b w:val="false"/>
          <w:b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 xml:space="preserve">13. Minuta contratual – </w:t>
      </w:r>
      <w:r>
        <w:rPr>
          <w:b w:val="false"/>
          <w:bCs w:val="false"/>
          <w:sz w:val="22"/>
          <w:szCs w:val="22"/>
          <w:shd w:fill="auto" w:val="clear"/>
        </w:rPr>
        <w:t>A formalização de contrato poderá ser dispensada para compras e prestação de serviços de fornecimento imediato cujo valor da aquisição seja limitada nas hipóteses de dispensa em razão do pequeno valor com fundamento no art. 75, I ou II, se outro instrumento o substituir;</w:t>
      </w:r>
    </w:p>
    <w:p>
      <w:pPr>
        <w:pStyle w:val="Normal"/>
        <w:spacing w:lineRule="auto" w:line="240"/>
        <w:jc w:val="both"/>
        <w:rPr>
          <w:rFonts w:ascii="Times New Roman" w:hAnsi="Times New Roman"/>
          <w:sz w:val="22"/>
          <w:szCs w:val="22"/>
        </w:rPr>
      </w:pPr>
      <w:r>
        <w:rPr>
          <w:b w:val="false"/>
          <w:bCs w:val="false"/>
          <w:sz w:val="22"/>
          <w:szCs w:val="22"/>
        </w:rPr>
        <w:t>14. Parecer Jurídico e Pareceres Técnicos (for o caso), que demonstrem o atendimento dos requisitos exigidos, salvo quando dispensados;</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15. Homologação e Adjudicação;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16. Comprovante de Publicação da Homologação e Adjudicação no diário oficial do Município;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17. Publicação do Extrato de Contrato – o ato que autoriza a contratação direta ou o extrato decorrente do contrato deverá ser divulgado e mantido à disposição do público em sítio eletrônico oficial (transparência) e Diário Oficial do Município.</w:t>
      </w:r>
    </w:p>
    <w:p>
      <w:pPr>
        <w:pStyle w:val="Corpodotexto"/>
        <w:widowControl w:val="false"/>
        <w:suppressAutoHyphens w:val="true"/>
        <w:bidi w:val="0"/>
        <w:spacing w:lineRule="auto" w:line="240" w:before="0" w:after="0"/>
        <w:ind w:left="0" w:right="0" w:hanging="0"/>
        <w:jc w:val="both"/>
        <w:rPr>
          <w:rFonts w:ascii="Times New Roman" w:hAnsi="Times New Roman"/>
          <w:b w:val="false"/>
          <w:b w:val="false"/>
          <w:bCs w:val="false"/>
          <w:sz w:val="22"/>
          <w:szCs w:val="22"/>
        </w:rPr>
      </w:pPr>
      <w:r>
        <w:rPr>
          <w:b w:val="false"/>
          <w:b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b w:val="false"/>
          <w:bCs w:val="false"/>
          <w:sz w:val="22"/>
          <w:szCs w:val="22"/>
        </w:rPr>
        <w:t>Art. 3º-Os processos devem ser finalizados no Sistema Gerencial e no portal transparência no site eletrônico oficial da Câmara Municipal, alimentando todas as informações, onde será integrado ao Portal Nacional de Contratações Públicas (PNCP) e SICOM.</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Art. 4º-Todos os processos devem ter capa, constando a numeração crescente do Processo, e a modalidade.</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Art. 5º – Todos os processos deverão ser autuados por aqueles cujos documentos produziram.</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 xml:space="preserve">Art. 6º – O Aviso de Dispensa ou inexigibilidade, a homologação, a adjudicação, o extrato de contrato deverão ser publicados preferencialmente no Diário Oficial do Município, no </w:t>
      </w:r>
      <w:r>
        <w:rPr>
          <w:b w:val="false"/>
          <w:bCs w:val="false"/>
          <w:sz w:val="22"/>
          <w:szCs w:val="22"/>
        </w:rPr>
        <w:t>sítio eletrônico oficial (transparência) e no PNCP.</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Art. 7° Os processos deverão ter os modelos dos anexos desta Instrução Normativa como referência, podendo ser adaptados conforme necessidade, desde que respeitado a legalidade:</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rFonts w:eastAsia="Times New Roman" w:cs="Times New Roman"/>
          <w:b w:val="false"/>
          <w:bCs w:val="false"/>
          <w:color w:val="auto"/>
          <w:kern w:val="0"/>
          <w:sz w:val="22"/>
          <w:szCs w:val="22"/>
          <w:lang w:val="pt-BR" w:eastAsia="en-US" w:bidi="ar-SA"/>
        </w:rPr>
        <w:t>ANEXO I – DOCUMENTO DE FORMALIZAÇÃO DA DEMANDA</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II – PORTARIA DE ABERTURA DE PROCESSO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III – ESTUDO TÉCNICO DE CONTRATAÇÃO – ETP</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IV – TERMO DE REFERÊNCIA</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V – DOCUMENTO DE FORMALIZAÇÃO DA PESQUISA DE PREÇO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VI – AVISO DE DISPENSA OU INEXIGIBILIDADE</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VII – DECLARAÇÃO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VIII – AVISO DE INTENÇÃO DE CONTRATAÇÃO POR DISPENSA DE LICITAÇÃO OU INEXIGIBILIDADE</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IX – RAZÃO DA ESCOLHA DA MODALIDADE, DO CONTRATADO E JUSTIFICATIVA DO PREÇO</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X – DA MINUTA CONTRATUAL</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t>ANEXO XI – MATRIZ DE RISCOS</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right"/>
        <w:rPr>
          <w:rFonts w:ascii="Times New Roman" w:hAnsi="Times New Roman"/>
          <w:sz w:val="22"/>
          <w:szCs w:val="22"/>
        </w:rPr>
      </w:pPr>
      <w:r>
        <w:rPr>
          <w:sz w:val="22"/>
          <w:szCs w:val="22"/>
        </w:rPr>
        <w:t>Santana da Vargem/MG, 06 de fevereiro de 2024.</w:t>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center"/>
        <w:rPr>
          <w:rFonts w:ascii="Times New Roman" w:hAnsi="Times New Roman"/>
          <w:sz w:val="22"/>
          <w:szCs w:val="22"/>
        </w:rPr>
      </w:pPr>
      <w:r>
        <w:rPr>
          <w:sz w:val="22"/>
          <w:szCs w:val="22"/>
        </w:rPr>
        <w:t>Laidia Mesquita de Sousa</w:t>
      </w:r>
    </w:p>
    <w:p>
      <w:pPr>
        <w:pStyle w:val="Corpodotexto"/>
        <w:widowControl w:val="false"/>
        <w:suppressAutoHyphens w:val="true"/>
        <w:bidi w:val="0"/>
        <w:spacing w:lineRule="auto" w:line="240" w:before="0" w:after="0"/>
        <w:ind w:left="0" w:right="0" w:hanging="0"/>
        <w:jc w:val="center"/>
        <w:rPr>
          <w:rFonts w:ascii="Times New Roman" w:hAnsi="Times New Roman"/>
          <w:sz w:val="22"/>
          <w:szCs w:val="22"/>
        </w:rPr>
      </w:pPr>
      <w:r>
        <w:rPr>
          <w:sz w:val="22"/>
          <w:szCs w:val="22"/>
        </w:rPr>
        <w:t>Controladoria Interna da Câmara Municipal de Santana da Vargem/MG</w:t>
      </w:r>
    </w:p>
    <w:p>
      <w:pPr>
        <w:pStyle w:val="Normal"/>
        <w:spacing w:lineRule="auto" w:line="240"/>
        <w:jc w:val="both"/>
        <w:rPr>
          <w:rFonts w:ascii="Times New Roman" w:hAnsi="Times New Roman"/>
          <w:sz w:val="22"/>
          <w:szCs w:val="22"/>
        </w:rPr>
      </w:pPr>
      <w:r>
        <w:rPr>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sz w:val="22"/>
          <w:szCs w:val="22"/>
        </w:rPr>
      </w:pPr>
      <w:r>
        <w:rPr>
          <w:b/>
          <w:bCs/>
          <w:sz w:val="22"/>
          <w:szCs w:val="22"/>
        </w:rPr>
      </w:r>
    </w:p>
    <w:p>
      <w:pPr>
        <w:pStyle w:val="Corpodotexto"/>
        <w:widowControl w:val="false"/>
        <w:suppressAutoHyphens w:val="true"/>
        <w:bidi w:val="0"/>
        <w:spacing w:lineRule="auto" w:line="240" w:before="0" w:after="0"/>
        <w:ind w:left="0" w:right="0" w:hanging="0"/>
        <w:jc w:val="center"/>
        <w:rPr>
          <w:color w:val="000000"/>
          <w:sz w:val="24"/>
          <w:szCs w:val="24"/>
        </w:rPr>
      </w:pPr>
      <w:r>
        <w:rPr>
          <w:b/>
          <w:bCs/>
          <w:color w:val="000000"/>
          <w:sz w:val="24"/>
          <w:szCs w:val="24"/>
        </w:rPr>
        <w:t>ANEXO I</w:t>
      </w:r>
    </w:p>
    <w:p>
      <w:pPr>
        <w:pStyle w:val="Normal"/>
        <w:spacing w:lineRule="auto" w:line="240" w:before="0" w:after="0"/>
        <w:ind w:left="0" w:hanging="2"/>
        <w:jc w:val="center"/>
        <w:rPr>
          <w:color w:val="000000"/>
          <w:sz w:val="24"/>
          <w:szCs w:val="24"/>
        </w:rPr>
      </w:pPr>
      <w:r>
        <w:rPr>
          <w:b/>
          <w:color w:val="000000"/>
          <w:sz w:val="24"/>
          <w:szCs w:val="24"/>
        </w:rPr>
        <w:t>DOCUMENTO DE FORMALIZAÇÃO DA DEMANDA</w:t>
      </w:r>
    </w:p>
    <w:p>
      <w:pPr>
        <w:pStyle w:val="Normal"/>
        <w:spacing w:lineRule="auto" w:line="240" w:before="0" w:after="0"/>
        <w:ind w:left="0" w:hanging="2"/>
        <w:jc w:val="center"/>
        <w:rPr>
          <w:b/>
          <w:b/>
          <w:color w:val="000000"/>
          <w:sz w:val="24"/>
          <w:szCs w:val="24"/>
        </w:rPr>
      </w:pPr>
      <w:r>
        <w:rPr>
          <w:b/>
          <w:color w:val="000000"/>
          <w:sz w:val="24"/>
          <w:szCs w:val="24"/>
        </w:rPr>
      </w:r>
    </w:p>
    <w:tbl>
      <w:tblPr>
        <w:tblW w:w="953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531"/>
      </w:tblGrid>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color w:val="000000"/>
                <w:sz w:val="24"/>
                <w:szCs w:val="24"/>
              </w:rPr>
              <w:t>Requisitante: Maria Aparecida de Araújo Reis</w:t>
            </w:r>
          </w:p>
        </w:tc>
      </w:tr>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color w:val="000000"/>
                <w:sz w:val="24"/>
                <w:szCs w:val="24"/>
              </w:rPr>
              <w:t>Setor: Presidência</w:t>
            </w:r>
          </w:p>
        </w:tc>
      </w:tr>
      <w:tr>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1.</w:t>
            </w:r>
            <w:r>
              <w:rPr>
                <w:color w:val="000000"/>
                <w:sz w:val="24"/>
                <w:szCs w:val="24"/>
              </w:rPr>
              <w:t xml:space="preserve"> </w:t>
            </w:r>
            <w:r>
              <w:rPr>
                <w:b/>
                <w:color w:val="000000"/>
                <w:sz w:val="24"/>
                <w:szCs w:val="24"/>
              </w:rPr>
              <w:t>Objeto/ Descrição da solução</w:t>
            </w:r>
          </w:p>
        </w:tc>
      </w:tr>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 w:after="0"/>
              <w:ind w:left="0" w:right="109" w:hanging="0"/>
              <w:jc w:val="both"/>
              <w:rPr>
                <w:color w:val="000000"/>
                <w:sz w:val="24"/>
                <w:szCs w:val="24"/>
              </w:rPr>
            </w:pPr>
            <w:r>
              <w:rPr>
                <w:i/>
                <w:iCs/>
                <w:color w:val="000000"/>
                <w:spacing w:val="1"/>
                <w:sz w:val="24"/>
                <w:szCs w:val="24"/>
              </w:rPr>
              <w:t xml:space="preserve">  </w:t>
            </w:r>
            <w:r>
              <w:rPr>
                <w:i/>
                <w:iCs/>
                <w:color w:val="000000"/>
                <w:spacing w:val="1"/>
                <w:sz w:val="24"/>
                <w:szCs w:val="24"/>
              </w:rPr>
              <w:t>Contratação de empresa autorizada para prestar serviço de revisão de 1</w:t>
            </w:r>
            <w:r>
              <w:rPr>
                <w:i/>
                <w:iCs/>
                <w:color w:val="000000"/>
                <w:spacing w:val="1"/>
                <w:sz w:val="24"/>
                <w:szCs w:val="24"/>
              </w:rPr>
              <w:t>3</w:t>
            </w:r>
            <w:r>
              <w:rPr>
                <w:i/>
                <w:iCs/>
                <w:color w:val="000000"/>
                <w:spacing w:val="1"/>
                <w:sz w:val="24"/>
                <w:szCs w:val="24"/>
              </w:rPr>
              <w:t xml:space="preserve">0.000 km, com o fornecimento de peças e acessórios de reposição do veículo oficial da </w:t>
            </w:r>
            <w:r>
              <w:rPr>
                <w:i/>
                <w:iCs/>
                <w:color w:val="000000"/>
                <w:sz w:val="24"/>
                <w:szCs w:val="24"/>
              </w:rPr>
              <w:t>Câmara</w:t>
            </w:r>
            <w:r>
              <w:rPr>
                <w:i/>
                <w:iCs/>
                <w:color w:val="000000"/>
                <w:spacing w:val="1"/>
                <w:sz w:val="24"/>
                <w:szCs w:val="24"/>
              </w:rPr>
              <w:t xml:space="preserve"> </w:t>
            </w:r>
            <w:r>
              <w:rPr>
                <w:i/>
                <w:iCs/>
                <w:color w:val="000000"/>
                <w:sz w:val="24"/>
                <w:szCs w:val="24"/>
              </w:rPr>
              <w:t>Municipal de</w:t>
            </w:r>
            <w:r>
              <w:rPr>
                <w:i/>
                <w:iCs/>
                <w:color w:val="000000"/>
                <w:spacing w:val="1"/>
                <w:sz w:val="24"/>
                <w:szCs w:val="24"/>
              </w:rPr>
              <w:t xml:space="preserve"> </w:t>
            </w:r>
            <w:r>
              <w:rPr>
                <w:i/>
                <w:iCs/>
                <w:color w:val="000000"/>
                <w:sz w:val="24"/>
                <w:szCs w:val="24"/>
              </w:rPr>
              <w:t>Santana da</w:t>
            </w:r>
            <w:r>
              <w:rPr>
                <w:i/>
                <w:iCs/>
                <w:color w:val="000000"/>
                <w:spacing w:val="1"/>
                <w:sz w:val="24"/>
                <w:szCs w:val="24"/>
              </w:rPr>
              <w:t xml:space="preserve"> </w:t>
            </w:r>
            <w:r>
              <w:rPr>
                <w:i/>
                <w:iCs/>
                <w:color w:val="000000"/>
                <w:sz w:val="24"/>
                <w:szCs w:val="24"/>
              </w:rPr>
              <w:t>Vargem. Renault Fluence Privilege 2.0 Flex, ano/modelo 2015/2016</w:t>
            </w:r>
          </w:p>
        </w:tc>
      </w:tr>
      <w:tr>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2.</w:t>
            </w:r>
            <w:r>
              <w:rPr>
                <w:color w:val="000000"/>
                <w:sz w:val="24"/>
                <w:szCs w:val="24"/>
              </w:rPr>
              <w:t xml:space="preserve"> </w:t>
            </w:r>
            <w:r>
              <w:rPr>
                <w:b/>
                <w:color w:val="000000"/>
                <w:sz w:val="24"/>
                <w:szCs w:val="24"/>
              </w:rPr>
              <w:t>Quantidades estimadas</w:t>
            </w:r>
          </w:p>
        </w:tc>
      </w:tr>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b/>
                <w:color w:val="000000" w:themeTint="99"/>
                <w:sz w:val="24"/>
                <w:szCs w:val="24"/>
              </w:rPr>
              <w:t>Nota</w:t>
            </w:r>
            <w:r>
              <w:rPr>
                <w:color w:val="000000" w:themeTint="99"/>
                <w:sz w:val="24"/>
                <w:szCs w:val="24"/>
              </w:rPr>
              <w:t xml:space="preserve">: </w:t>
            </w:r>
            <w:r>
              <w:rPr>
                <w:color w:val="000000"/>
                <w:sz w:val="24"/>
                <w:szCs w:val="24"/>
                <w:u w:val="none"/>
              </w:rPr>
              <w:t xml:space="preserve">Listar os materiais/serviços com suas respectivas quantidades </w:t>
            </w:r>
            <w:r>
              <w:rPr>
                <w:color w:val="000000"/>
                <w:sz w:val="24"/>
                <w:szCs w:val="24"/>
              </w:rPr>
              <w:t>(referentes a este pedido/processo), conforme tabela abaixo:</w:t>
            </w:r>
          </w:p>
          <w:tbl>
            <w:tblPr>
              <w:tblW w:w="9354" w:type="dxa"/>
              <w:jc w:val="left"/>
              <w:tblInd w:w="0" w:type="dxa"/>
              <w:tblLayout w:type="fixed"/>
              <w:tblCellMar>
                <w:top w:w="100" w:type="dxa"/>
                <w:left w:w="100" w:type="dxa"/>
                <w:bottom w:w="100" w:type="dxa"/>
                <w:right w:w="100" w:type="dxa"/>
              </w:tblCellMar>
              <w:tblLook w:firstRow="0" w:noVBand="0" w:lastRow="0" w:firstColumn="0" w:lastColumn="0" w:noHBand="0" w:val="0000"/>
            </w:tblPr>
            <w:tblGrid>
              <w:gridCol w:w="5343"/>
              <w:gridCol w:w="2006"/>
              <w:gridCol w:w="2005"/>
            </w:tblGrid>
            <w:tr>
              <w:trPr/>
              <w:tc>
                <w:tcPr>
                  <w:tcW w:w="53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ind w:left="0" w:hanging="2"/>
                    <w:jc w:val="both"/>
                    <w:rPr>
                      <w:color w:val="000000"/>
                      <w:sz w:val="24"/>
                      <w:szCs w:val="24"/>
                    </w:rPr>
                  </w:pPr>
                  <w:r>
                    <w:rPr>
                      <w:b/>
                      <w:color w:val="000000"/>
                      <w:sz w:val="24"/>
                      <w:szCs w:val="24"/>
                    </w:rPr>
                    <w:t>DESCRIÇÃO RESUMIDA</w:t>
                  </w:r>
                </w:p>
              </w:tc>
              <w:tc>
                <w:tcPr>
                  <w:tcW w:w="200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ind w:left="0" w:hanging="2"/>
                    <w:jc w:val="both"/>
                    <w:rPr>
                      <w:color w:val="000000"/>
                      <w:sz w:val="24"/>
                      <w:szCs w:val="24"/>
                    </w:rPr>
                  </w:pPr>
                  <w:r>
                    <w:rPr>
                      <w:b/>
                      <w:bCs/>
                      <w:color w:val="000000"/>
                      <w:sz w:val="24"/>
                      <w:szCs w:val="24"/>
                    </w:rPr>
                    <w:t>UNIDADE</w:t>
                  </w:r>
                </w:p>
              </w:tc>
              <w:tc>
                <w:tcPr>
                  <w:tcW w:w="20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ind w:left="0" w:hanging="2"/>
                    <w:jc w:val="both"/>
                    <w:rPr>
                      <w:color w:val="000000"/>
                      <w:sz w:val="24"/>
                      <w:szCs w:val="24"/>
                    </w:rPr>
                  </w:pPr>
                  <w:r>
                    <w:rPr>
                      <w:b/>
                      <w:color w:val="000000"/>
                      <w:sz w:val="24"/>
                      <w:szCs w:val="24"/>
                    </w:rPr>
                    <w:t>QUANTIDADE</w:t>
                  </w:r>
                </w:p>
              </w:tc>
            </w:tr>
            <w:tr>
              <w:trPr/>
              <w:tc>
                <w:tcPr>
                  <w:tcW w:w="5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t>Contratação de empresa autorizada para prestar serviço de revisão de 1</w:t>
                  </w:r>
                  <w:r>
                    <w:rPr>
                      <w:color w:val="000000"/>
                      <w:sz w:val="24"/>
                      <w:szCs w:val="24"/>
                    </w:rPr>
                    <w:t>3</w:t>
                  </w:r>
                  <w:r>
                    <w:rPr>
                      <w:color w:val="000000"/>
                      <w:sz w:val="24"/>
                      <w:szCs w:val="24"/>
                    </w:rPr>
                    <w:t>0.000 km, com o fornecimento de peças e acessórios de reposição do veículo oficial da Câmara Municipal de Santana da Vargem. Renault Fluence Privilege 2.0 Flex, ano/modelo 2015/2016</w:t>
                  </w:r>
                </w:p>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t>(inclusão de mão de obra especializada renault, garantia das peças trocadas, diagnóstico eletrônico, anel, filtro do habitáculo, filtro de ar, filtro de combustível, filtro de óleo, lubrificantes renault, velas fluído de freio)</w:t>
                  </w:r>
                </w:p>
              </w:tc>
              <w:tc>
                <w:tcPr>
                  <w:tcW w:w="200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t>SERVIÇO</w:t>
                  </w:r>
                </w:p>
              </w:tc>
              <w:tc>
                <w:tcPr>
                  <w:tcW w:w="2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r>
                </w:p>
                <w:p>
                  <w:pPr>
                    <w:pStyle w:val="Normal"/>
                    <w:widowControl w:val="false"/>
                    <w:spacing w:lineRule="auto" w:line="240" w:before="0" w:after="0"/>
                    <w:ind w:left="0" w:hanging="2"/>
                    <w:jc w:val="center"/>
                    <w:rPr>
                      <w:rFonts w:ascii="Times New Roman" w:hAnsi="Times New Roman"/>
                      <w:color w:val="000000"/>
                      <w:sz w:val="24"/>
                      <w:szCs w:val="24"/>
                    </w:rPr>
                  </w:pPr>
                  <w:r>
                    <w:rPr>
                      <w:color w:val="000000"/>
                      <w:sz w:val="24"/>
                      <w:szCs w:val="24"/>
                    </w:rPr>
                    <w:t>1</w:t>
                  </w:r>
                </w:p>
              </w:tc>
            </w:tr>
            <w:tr>
              <w:trPr/>
              <w:tc>
                <w:tcPr>
                  <w:tcW w:w="5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r>
                </w:p>
              </w:tc>
              <w:tc>
                <w:tcPr>
                  <w:tcW w:w="200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r>
                </w:p>
              </w:tc>
              <w:tc>
                <w:tcPr>
                  <w:tcW w:w="2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r>
                </w:p>
              </w:tc>
            </w:tr>
          </w:tbl>
          <w:p>
            <w:pPr>
              <w:pStyle w:val="Normal"/>
              <w:widowControl w:val="false"/>
              <w:spacing w:lineRule="auto" w:line="240" w:before="0" w:after="0"/>
              <w:ind w:left="0" w:hanging="2"/>
              <w:jc w:val="both"/>
              <w:rPr>
                <w:rFonts w:ascii="Times New Roman" w:hAnsi="Times New Roman"/>
                <w:color w:val="000000"/>
                <w:sz w:val="24"/>
                <w:szCs w:val="24"/>
              </w:rPr>
            </w:pPr>
            <w:r>
              <w:rPr>
                <w:color w:val="000000"/>
                <w:sz w:val="24"/>
                <w:szCs w:val="24"/>
              </w:rPr>
            </w:r>
          </w:p>
        </w:tc>
      </w:tr>
      <w:tr>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3.</w:t>
            </w:r>
            <w:r>
              <w:rPr>
                <w:color w:val="000000"/>
                <w:sz w:val="24"/>
                <w:szCs w:val="24"/>
              </w:rPr>
              <w:t xml:space="preserve"> </w:t>
            </w:r>
            <w:r>
              <w:rPr>
                <w:b/>
                <w:color w:val="000000"/>
                <w:sz w:val="24"/>
                <w:szCs w:val="24"/>
              </w:rPr>
              <w:t>Justificativa da necessidade da aquisição, considerando o Planejamento Estratégico (se for o caso)</w:t>
            </w:r>
          </w:p>
        </w:tc>
      </w:tr>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color w:val="000000"/>
                <w:sz w:val="24"/>
                <w:szCs w:val="24"/>
              </w:rPr>
              <w:t>A realização da revisão do veículo da Câmara Municipal de Santana da Vargem é uma medida essencial para garantir a segurança e a eficiência das atividades desempenhadas por essa instituição. O próprio veículo, conforme programado pelo fabricante, indica quando é necessário realizar a revisão. Seguir essa periodicidade é crucial para evitar que o carro opere com peças desgastadas ou componentes vencidos, o que poderia colocar em risco a segurança das pessoas que viajam nele.</w:t>
            </w:r>
          </w:p>
          <w:p>
            <w:pPr>
              <w:pStyle w:val="Normal"/>
              <w:widowControl w:val="false"/>
              <w:spacing w:lineRule="auto" w:line="240" w:before="0" w:after="0"/>
              <w:ind w:left="0" w:hanging="2"/>
              <w:jc w:val="both"/>
              <w:rPr>
                <w:color w:val="000000"/>
                <w:sz w:val="24"/>
                <w:szCs w:val="24"/>
              </w:rPr>
            </w:pPr>
            <w:r>
              <w:rPr>
                <w:color w:val="000000"/>
                <w:sz w:val="24"/>
                <w:szCs w:val="24"/>
              </w:rPr>
              <w:br/>
              <w:t>Esse veículo é utilizado frequentemente pelos vereadores e pela presidência para participar de eventos, realizar cursos e visitas a outros parlamentares. Além disso, desempenha um papel fundamental nas atividades cotidianas da Câmara, como a realização de compras, cotações de preços e outras tarefas administrativas. A ausência do veículo ou sua paralisação devido à falta de manutenção comprometeria seriamente a capacidade da Câmara de executar esses serviços.</w:t>
              <w:br/>
              <w:br/>
            </w:r>
            <w:r>
              <w:rPr>
                <w:b/>
                <w:bCs/>
                <w:color w:val="000000"/>
                <w:sz w:val="24"/>
                <w:szCs w:val="24"/>
              </w:rPr>
              <w:t>A quantidade e a natureza</w:t>
            </w:r>
            <w:r>
              <w:rPr>
                <w:color w:val="000000"/>
                <w:sz w:val="24"/>
                <w:szCs w:val="24"/>
              </w:rPr>
              <w:t xml:space="preserve"> das revisões são determinadas pelas especificações do fabricante, que considera o desgaste natural das peças e a necessidade de substituição periódica de componentes para manter o veículo em condições seguras e operacionais. Esse critério técnico garante que todas as partes do veículo estejam em ótimo estado de funcionamento, prevenindo falhas mecânicas que poderiam levar a interrupções nos serviços da Câmara.</w:t>
            </w:r>
          </w:p>
          <w:p>
            <w:pPr>
              <w:pStyle w:val="Normal"/>
              <w:widowControl w:val="false"/>
              <w:spacing w:lineRule="auto" w:line="240" w:before="0" w:after="0"/>
              <w:ind w:left="0" w:hanging="2"/>
              <w:jc w:val="both"/>
              <w:rPr>
                <w:color w:val="000000"/>
                <w:sz w:val="24"/>
                <w:szCs w:val="24"/>
              </w:rPr>
            </w:pPr>
            <w:r>
              <w:rPr>
                <w:color w:val="000000"/>
                <w:sz w:val="24"/>
                <w:szCs w:val="24"/>
              </w:rPr>
              <w:br/>
            </w:r>
            <w:r>
              <w:rPr>
                <w:b/>
                <w:bCs/>
                <w:color w:val="000000"/>
                <w:sz w:val="24"/>
                <w:szCs w:val="24"/>
              </w:rPr>
              <w:t>Os beneficiários diretos</w:t>
            </w:r>
            <w:r>
              <w:rPr>
                <w:color w:val="000000"/>
                <w:sz w:val="24"/>
                <w:szCs w:val="24"/>
              </w:rPr>
              <w:t xml:space="preserve"> da revisão do veículo incluem os vereadores, a presidência e todos os funcionários da Câmara Municipal de Santana da Vargem que dependem do carro para desempenhar suas funções. A manutenção adequada do veículo garante que eles possam realizar viagens de maneira segura e eficiente, sem interrupções indesejadas que comprometam suas agendas e compromissos oficiais.</w:t>
            </w:r>
          </w:p>
          <w:p>
            <w:pPr>
              <w:pStyle w:val="Normal"/>
              <w:widowControl w:val="false"/>
              <w:spacing w:lineRule="auto" w:line="240" w:before="0" w:after="0"/>
              <w:ind w:left="0" w:hanging="2"/>
              <w:jc w:val="both"/>
              <w:rPr>
                <w:color w:val="000000"/>
                <w:sz w:val="24"/>
                <w:szCs w:val="24"/>
              </w:rPr>
            </w:pPr>
            <w:r>
              <w:rPr>
                <w:color w:val="000000"/>
                <w:sz w:val="24"/>
                <w:szCs w:val="24"/>
              </w:rPr>
              <w:br/>
            </w:r>
            <w:r>
              <w:rPr>
                <w:b/>
                <w:bCs/>
                <w:color w:val="000000"/>
                <w:sz w:val="24"/>
                <w:szCs w:val="24"/>
              </w:rPr>
              <w:t xml:space="preserve">Os resultados pretendidos </w:t>
            </w:r>
            <w:r>
              <w:rPr>
                <w:color w:val="000000"/>
                <w:sz w:val="24"/>
                <w:szCs w:val="24"/>
              </w:rPr>
              <w:t>com a realização da revisão periódica do veículo são a manutenção da segurança e a confiabilidade do transporte oferecido pela Câmara, a continuidade das atividades sem interrupções e a preservação da integridade do veículo a longo prazo. Além disso, garante-se que todas as viagens e tarefas administrativas possam ser realizadas dentro dos prazos e com a qualidade esperada, contribuindo para o bom funcionamento da Câmara e para o atendimento eficaz das necessidades da comunidade.</w:t>
            </w:r>
          </w:p>
          <w:p>
            <w:pPr>
              <w:pStyle w:val="Normal"/>
              <w:widowControl w:val="false"/>
              <w:spacing w:lineRule="auto" w:line="240" w:before="0" w:after="0"/>
              <w:ind w:left="0" w:hanging="2"/>
              <w:jc w:val="both"/>
              <w:rPr>
                <w:color w:val="000000"/>
                <w:sz w:val="24"/>
                <w:szCs w:val="24"/>
              </w:rPr>
            </w:pPr>
            <w:r>
              <w:rPr>
                <w:color w:val="000000"/>
                <w:sz w:val="24"/>
                <w:szCs w:val="24"/>
              </w:rPr>
              <w:br/>
              <w:t>Portanto, a revisão do veículo não é apenas uma necessidade técnica, mas uma medida fundamental para assegurar que a Câmara Municipal de Santana da Vargem continue a desempenhar suas funções com a eficiência e a segurança exigidas.</w:t>
            </w:r>
          </w:p>
          <w:p>
            <w:pPr>
              <w:pStyle w:val="Normal"/>
              <w:widowControl w:val="false"/>
              <w:spacing w:lineRule="auto" w:line="240" w:before="0" w:after="0"/>
              <w:ind w:left="0" w:hanging="2"/>
              <w:jc w:val="both"/>
              <w:rPr>
                <w:color w:val="000000"/>
                <w:sz w:val="24"/>
                <w:szCs w:val="24"/>
              </w:rPr>
            </w:pPr>
            <w:r>
              <w:rPr>
                <w:color w:val="000000"/>
                <w:sz w:val="24"/>
                <w:szCs w:val="24"/>
              </w:rPr>
            </w:r>
          </w:p>
        </w:tc>
      </w:tr>
      <w:tr>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4.</w:t>
            </w:r>
            <w:r>
              <w:rPr>
                <w:color w:val="000000"/>
                <w:sz w:val="24"/>
                <w:szCs w:val="24"/>
              </w:rPr>
              <w:t xml:space="preserve"> </w:t>
            </w:r>
            <w:r>
              <w:rPr>
                <w:b/>
                <w:color w:val="000000"/>
                <w:sz w:val="24"/>
                <w:szCs w:val="24"/>
              </w:rPr>
              <w:t>Previsão de data em que devem ser adquiridos os materiais e/ou serviços</w:t>
            </w:r>
          </w:p>
        </w:tc>
      </w:tr>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color w:val="000000"/>
                <w:sz w:val="24"/>
                <w:szCs w:val="24"/>
              </w:rPr>
              <w:t>A aquisição está prevista no PAC para junho de 2024</w:t>
            </w:r>
          </w:p>
        </w:tc>
      </w:tr>
      <w:tr>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5.</w:t>
            </w:r>
            <w:r>
              <w:rPr>
                <w:color w:val="000000"/>
                <w:sz w:val="24"/>
                <w:szCs w:val="24"/>
              </w:rPr>
              <w:t xml:space="preserve"> </w:t>
            </w:r>
            <w:r>
              <w:rPr>
                <w:b/>
                <w:color w:val="000000"/>
                <w:sz w:val="24"/>
                <w:szCs w:val="24"/>
              </w:rPr>
              <w:t>O objeto a ser adquirido está previsto no Plano Anual de Compras?</w:t>
            </w:r>
          </w:p>
        </w:tc>
      </w:tr>
      <w:tr>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color w:val="000000"/>
                <w:sz w:val="24"/>
                <w:szCs w:val="24"/>
              </w:rPr>
              <w:t>(x) Sim    () Não</w:t>
            </w:r>
          </w:p>
        </w:tc>
      </w:tr>
      <w:tr>
        <w:trPr>
          <w:trHeight w:val="150" w:hRule="atLeast"/>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6. Informações adicionais</w:t>
            </w:r>
          </w:p>
        </w:tc>
      </w:tr>
      <w:tr>
        <w:trPr>
          <w:trHeight w:val="150" w:hRule="atLeast"/>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color w:val="000000"/>
                <w:sz w:val="24"/>
                <w:szCs w:val="24"/>
              </w:rPr>
            </w:pPr>
            <w:r>
              <w:rPr>
                <w:b/>
                <w:color w:val="000000" w:themeTint="99"/>
                <w:sz w:val="24"/>
                <w:szCs w:val="24"/>
              </w:rPr>
              <w:t>Nota</w:t>
            </w:r>
            <w:r>
              <w:rPr>
                <w:color w:val="000000" w:themeTint="99"/>
                <w:sz w:val="24"/>
                <w:szCs w:val="24"/>
              </w:rPr>
              <w:t>:</w:t>
            </w:r>
            <w:r>
              <w:rPr>
                <w:b/>
                <w:color w:val="000000" w:themeTint="99"/>
                <w:sz w:val="24"/>
                <w:szCs w:val="24"/>
              </w:rPr>
              <w:t xml:space="preserve"> </w:t>
            </w:r>
            <w:r>
              <w:rPr>
                <w:color w:val="000000"/>
                <w:sz w:val="24"/>
                <w:szCs w:val="24"/>
              </w:rPr>
              <w:t>Adicionar outras informações consideradas pertinentes.</w:t>
            </w:r>
          </w:p>
        </w:tc>
      </w:tr>
      <w:tr>
        <w:trPr>
          <w:trHeight w:val="150" w:hRule="atLeast"/>
        </w:trPr>
        <w:tc>
          <w:tcPr>
            <w:tcW w:w="9531" w:type="dxa"/>
            <w:tcBorders>
              <w:top w:val="single" w:sz="4" w:space="0" w:color="000000"/>
              <w:left w:val="single" w:sz="4" w:space="0" w:color="000000"/>
              <w:bottom w:val="single" w:sz="4" w:space="0" w:color="000000"/>
              <w:right w:val="single" w:sz="4" w:space="0" w:color="000000"/>
            </w:tcBorders>
            <w:shd w:color="auto" w:fill="365F91" w:themeFill="accent1" w:themeFillShade="bf" w:val="clear"/>
          </w:tcPr>
          <w:p>
            <w:pPr>
              <w:pStyle w:val="Normal"/>
              <w:widowControl w:val="false"/>
              <w:spacing w:lineRule="auto" w:line="240" w:before="0" w:after="0"/>
              <w:ind w:left="0" w:hanging="2"/>
              <w:jc w:val="both"/>
              <w:rPr>
                <w:color w:val="000000"/>
                <w:sz w:val="24"/>
                <w:szCs w:val="24"/>
              </w:rPr>
            </w:pPr>
            <w:r>
              <w:rPr>
                <w:b/>
                <w:color w:val="000000"/>
                <w:sz w:val="24"/>
                <w:szCs w:val="24"/>
              </w:rPr>
              <w:t>7. Anexos</w:t>
            </w:r>
          </w:p>
        </w:tc>
      </w:tr>
      <w:tr>
        <w:trPr>
          <w:trHeight w:val="150" w:hRule="atLeast"/>
        </w:trPr>
        <w:tc>
          <w:tcPr>
            <w:tcW w:w="9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2"/>
              <w:jc w:val="both"/>
              <w:rPr>
                <w:rFonts w:ascii="Times New Roman" w:hAnsi="Times New Roman"/>
                <w:b/>
                <w:b/>
                <w:bCs/>
                <w:color w:val="000000"/>
                <w:sz w:val="24"/>
                <w:szCs w:val="24"/>
              </w:rPr>
            </w:pPr>
            <w:r>
              <w:rPr>
                <w:b/>
                <w:bCs/>
                <w:color w:val="000000"/>
                <w:sz w:val="24"/>
                <w:szCs w:val="24"/>
              </w:rPr>
            </w:r>
          </w:p>
        </w:tc>
      </w:tr>
      <w:tr>
        <w:trPr>
          <w:trHeight w:val="150" w:hRule="atLeast"/>
        </w:trPr>
        <w:tc>
          <w:tcPr>
            <w:tcW w:w="9531"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color w:val="000000"/>
                <w:sz w:val="24"/>
                <w:szCs w:val="24"/>
              </w:rPr>
            </w:pPr>
            <w:r>
              <w:rPr>
                <w:b/>
                <w:bCs/>
                <w:color w:val="000000"/>
                <w:sz w:val="24"/>
                <w:szCs w:val="24"/>
                <w:shd w:fill="auto" w:val="clear"/>
              </w:rPr>
              <w:t>8. Responsável pela Formalização da Demanda</w:t>
            </w:r>
          </w:p>
        </w:tc>
      </w:tr>
      <w:tr>
        <w:trPr>
          <w:trHeight w:val="150" w:hRule="atLeast"/>
        </w:trPr>
        <w:tc>
          <w:tcPr>
            <w:tcW w:w="953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jc w:val="both"/>
              <w:rPr>
                <w:color w:val="000000"/>
                <w:sz w:val="24"/>
                <w:szCs w:val="24"/>
              </w:rPr>
            </w:pPr>
            <w:r>
              <w:rPr>
                <w:color w:val="000000"/>
                <w:sz w:val="24"/>
                <w:szCs w:val="24"/>
                <w:lang w:val="pt-BR" w:eastAsia="en-US" w:bidi="ar-SA"/>
              </w:rPr>
              <w:t>Nome: Larissa Oliveira Naves</w:t>
            </w:r>
          </w:p>
          <w:p>
            <w:pPr>
              <w:pStyle w:val="Normal"/>
              <w:widowControl w:val="false"/>
              <w:spacing w:lineRule="auto" w:line="240"/>
              <w:jc w:val="both"/>
              <w:rPr>
                <w:color w:val="000000"/>
                <w:sz w:val="24"/>
                <w:szCs w:val="24"/>
              </w:rPr>
            </w:pPr>
            <w:r>
              <w:rPr>
                <w:color w:val="000000"/>
                <w:sz w:val="24"/>
                <w:szCs w:val="24"/>
                <w:lang w:val="pt-BR" w:eastAsia="en-US" w:bidi="ar-SA"/>
              </w:rPr>
              <w:t>Matrícula:111</w:t>
            </w:r>
          </w:p>
          <w:p>
            <w:pPr>
              <w:pStyle w:val="Normal"/>
              <w:widowControl w:val="false"/>
              <w:spacing w:lineRule="auto" w:line="240"/>
              <w:jc w:val="both"/>
              <w:rPr>
                <w:color w:val="000000"/>
                <w:sz w:val="24"/>
                <w:szCs w:val="24"/>
              </w:rPr>
            </w:pPr>
            <w:r>
              <w:rPr>
                <w:color w:val="000000"/>
                <w:sz w:val="24"/>
                <w:szCs w:val="24"/>
                <w:lang w:val="pt-BR" w:eastAsia="en-US" w:bidi="ar-SA"/>
              </w:rPr>
              <w:t>Função: Secretária Legislativa</w:t>
            </w:r>
          </w:p>
          <w:p>
            <w:pPr>
              <w:pStyle w:val="Normal"/>
              <w:widowControl w:val="false"/>
              <w:spacing w:lineRule="auto" w:line="240"/>
              <w:jc w:val="both"/>
              <w:rPr>
                <w:color w:val="000000"/>
                <w:sz w:val="24"/>
                <w:szCs w:val="24"/>
              </w:rPr>
            </w:pPr>
            <w:r>
              <w:rPr>
                <w:color w:val="000000"/>
                <w:sz w:val="24"/>
                <w:szCs w:val="24"/>
                <w:lang w:val="pt-BR" w:eastAsia="en-US" w:bidi="ar-SA"/>
              </w:rPr>
              <w:t>Data: 11/06/2024</w:t>
            </w:r>
          </w:p>
        </w:tc>
      </w:tr>
      <w:tr>
        <w:trPr>
          <w:trHeight w:val="150" w:hRule="atLeast"/>
        </w:trPr>
        <w:tc>
          <w:tcPr>
            <w:tcW w:w="953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jc w:val="both"/>
              <w:rPr>
                <w:color w:val="000000"/>
                <w:sz w:val="24"/>
                <w:szCs w:val="24"/>
              </w:rPr>
            </w:pPr>
            <w:r>
              <w:rPr>
                <w:color w:val="000000"/>
                <w:sz w:val="24"/>
                <w:szCs w:val="24"/>
              </w:rPr>
            </w:r>
          </w:p>
        </w:tc>
      </w:tr>
    </w:tbl>
    <w:p>
      <w:pPr>
        <w:pStyle w:val="Normal"/>
        <w:spacing w:lineRule="auto" w:line="240" w:before="0" w:after="0"/>
        <w:ind w:left="0" w:hanging="2"/>
        <w:jc w:val="both"/>
        <w:rPr>
          <w:rFonts w:ascii="Times New Roman" w:hAnsi="Times New Roman"/>
          <w:color w:val="000000"/>
          <w:sz w:val="24"/>
          <w:szCs w:val="24"/>
        </w:rPr>
      </w:pPr>
      <w:r>
        <w:rPr>
          <w:color w:val="000000"/>
          <w:sz w:val="24"/>
          <w:szCs w:val="24"/>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b/>
          <w:b/>
          <w:bCs/>
          <w:i w:val="false"/>
          <w:i w:val="false"/>
          <w:iCs w:val="false"/>
          <w:sz w:val="22"/>
          <w:szCs w:val="22"/>
        </w:rPr>
      </w:pPr>
      <w:r>
        <w:rPr>
          <w:b/>
          <w:bCs/>
          <w:i w:val="false"/>
          <w:iCs w:val="false"/>
          <w:sz w:val="22"/>
          <w:szCs w:val="22"/>
        </w:rPr>
      </w:r>
    </w:p>
    <w:p>
      <w:pPr>
        <w:sectPr>
          <w:headerReference w:type="default" r:id="rId3"/>
          <w:type w:val="nextPage"/>
          <w:pgSz w:w="11906" w:h="16838"/>
          <w:pgMar w:left="600" w:right="593" w:gutter="0" w:header="320" w:top="2081" w:footer="0" w:bottom="280"/>
          <w:pgNumType w:fmt="decimal"/>
          <w:formProt w:val="false"/>
          <w:textDirection w:val="lrTb"/>
          <w:docGrid w:type="default" w:linePitch="100" w:charSpace="4096"/>
        </w:sect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r>
        <w:br w:type="page"/>
      </w:r>
    </w:p>
    <w:p>
      <w:pPr>
        <w:pStyle w:val="Normal"/>
        <w:tabs>
          <w:tab w:val="clear" w:pos="720"/>
        </w:tabs>
        <w:spacing w:lineRule="auto" w:line="240" w:before="92" w:after="0"/>
        <w:ind w:left="1450" w:right="0" w:hanging="0"/>
        <w:jc w:val="center"/>
        <w:rPr/>
      </w:pPr>
      <w:r>
        <w:rPr>
          <w:rStyle w:val="Fontepargpadro"/>
          <w:b/>
          <w:color w:val="000000"/>
          <w:sz w:val="22"/>
          <w:szCs w:val="22"/>
        </w:rPr>
        <w:t>ANEXO II</w:t>
      </w:r>
    </w:p>
    <w:p>
      <w:pPr>
        <w:pStyle w:val="Normal"/>
        <w:tabs>
          <w:tab w:val="clear" w:pos="720"/>
        </w:tabs>
        <w:spacing w:lineRule="auto" w:line="240" w:before="92" w:after="0"/>
        <w:ind w:left="1450" w:right="0" w:hanging="0"/>
        <w:jc w:val="center"/>
        <w:rPr/>
      </w:pPr>
      <w:r>
        <w:rPr>
          <w:rStyle w:val="Fontepargpadro"/>
          <w:b/>
          <w:color w:val="000000"/>
          <w:sz w:val="22"/>
          <w:szCs w:val="22"/>
        </w:rPr>
        <w:t>PORTARIA DE ABERTURA DE PROCESSO</w:t>
      </w:r>
    </w:p>
    <w:p>
      <w:pPr>
        <w:pStyle w:val="Normal"/>
        <w:tabs>
          <w:tab w:val="clear" w:pos="720"/>
        </w:tabs>
        <w:spacing w:lineRule="auto" w:line="240" w:before="92" w:after="0"/>
        <w:ind w:left="1450" w:right="0" w:hanging="0"/>
        <w:jc w:val="both"/>
        <w:rPr>
          <w:rFonts w:ascii="Times New Roman" w:hAnsi="Times New Roman"/>
          <w:b/>
          <w:b/>
          <w:color w:val="000000"/>
          <w:sz w:val="22"/>
          <w:szCs w:val="22"/>
        </w:rPr>
      </w:pPr>
      <w:r>
        <w:rPr>
          <w:b/>
          <w:color w:val="000000"/>
          <w:sz w:val="22"/>
          <w:szCs w:val="22"/>
        </w:rPr>
      </w:r>
    </w:p>
    <w:p>
      <w:pPr>
        <w:pStyle w:val="Normal"/>
        <w:tabs>
          <w:tab w:val="clear" w:pos="720"/>
        </w:tabs>
        <w:spacing w:lineRule="auto" w:line="240" w:before="92" w:after="0"/>
        <w:ind w:left="1450" w:right="0" w:hanging="0"/>
        <w:jc w:val="both"/>
        <w:rPr/>
      </w:pPr>
      <w:r>
        <w:rPr>
          <w:rStyle w:val="Fontepargpadro"/>
          <w:b/>
          <w:color w:val="000000"/>
          <w:sz w:val="22"/>
          <w:szCs w:val="22"/>
        </w:rPr>
        <w:t>PORTARIA Nº _____, DE _____DE ________ DE 20_</w:t>
      </w:r>
    </w:p>
    <w:p>
      <w:pPr>
        <w:pStyle w:val="Corpodotexto"/>
        <w:spacing w:lineRule="auto" w:line="240" w:before="1" w:after="0"/>
        <w:jc w:val="both"/>
        <w:rPr>
          <w:rFonts w:ascii="Times New Roman" w:hAnsi="Times New Roman"/>
          <w:b/>
          <w:b/>
          <w:color w:val="000000"/>
          <w:sz w:val="22"/>
          <w:szCs w:val="22"/>
        </w:rPr>
      </w:pPr>
      <w:r>
        <w:rPr>
          <w:b/>
          <w:color w:val="000000"/>
          <w:sz w:val="22"/>
          <w:szCs w:val="22"/>
        </w:rPr>
      </w:r>
    </w:p>
    <w:p>
      <w:pPr>
        <w:pStyle w:val="Normal"/>
        <w:tabs>
          <w:tab w:val="clear" w:pos="720"/>
        </w:tabs>
        <w:spacing w:lineRule="auto" w:line="240"/>
        <w:ind w:left="3798" w:right="0" w:hanging="0"/>
        <w:jc w:val="both"/>
        <w:rPr>
          <w:rFonts w:ascii="Times New Roman" w:hAnsi="Times New Roman"/>
          <w:sz w:val="22"/>
          <w:szCs w:val="22"/>
        </w:rPr>
      </w:pPr>
      <w:r>
        <w:rPr>
          <w:i/>
          <w:iCs/>
          <w:color w:val="000000"/>
          <w:sz w:val="22"/>
          <w:szCs w:val="22"/>
        </w:rPr>
        <w:t>“</w:t>
      </w:r>
      <w:r>
        <w:rPr>
          <w:i/>
          <w:iCs/>
          <w:color w:val="000000"/>
          <w:sz w:val="22"/>
          <w:szCs w:val="22"/>
        </w:rPr>
        <w:t>Determina a abertura de processo administrativo para aquisição/contratação de ___________”</w:t>
      </w:r>
    </w:p>
    <w:p>
      <w:pPr>
        <w:pStyle w:val="Corpodotexto"/>
        <w:spacing w:lineRule="auto" w:line="240"/>
        <w:jc w:val="both"/>
        <w:rPr>
          <w:rFonts w:ascii="Times New Roman" w:hAnsi="Times New Roman"/>
          <w:b/>
          <w:b/>
          <w:color w:val="000000"/>
          <w:sz w:val="22"/>
          <w:szCs w:val="22"/>
        </w:rPr>
      </w:pPr>
      <w:r>
        <w:rPr>
          <w:b/>
          <w:color w:val="000000"/>
          <w:sz w:val="22"/>
          <w:szCs w:val="22"/>
        </w:rPr>
      </w:r>
    </w:p>
    <w:p>
      <w:pPr>
        <w:pStyle w:val="Corpodotexto"/>
        <w:spacing w:lineRule="auto" w:line="240" w:before="8" w:after="0"/>
        <w:jc w:val="both"/>
        <w:rPr>
          <w:rFonts w:ascii="Times New Roman" w:hAnsi="Times New Roman"/>
          <w:b/>
          <w:b/>
          <w:color w:val="000000"/>
          <w:sz w:val="22"/>
          <w:szCs w:val="22"/>
        </w:rPr>
      </w:pPr>
      <w:r>
        <w:rPr>
          <w:b/>
          <w:color w:val="000000"/>
          <w:sz w:val="22"/>
          <w:szCs w:val="22"/>
        </w:rPr>
      </w:r>
    </w:p>
    <w:p>
      <w:pPr>
        <w:pStyle w:val="Corpodotexto"/>
        <w:spacing w:lineRule="auto" w:line="240"/>
        <w:ind w:left="0" w:right="130" w:hanging="0"/>
        <w:jc w:val="both"/>
        <w:rPr>
          <w:rFonts w:ascii="Times New Roman" w:hAnsi="Times New Roman"/>
          <w:sz w:val="22"/>
          <w:szCs w:val="22"/>
        </w:rPr>
      </w:pPr>
      <w:r>
        <w:rPr>
          <w:color w:val="000000"/>
          <w:sz w:val="22"/>
          <w:szCs w:val="22"/>
        </w:rPr>
        <w:tab/>
        <w:t>O(a) Presidente da Câmara Municipal de Santana da Vargem, no uso das atribuições que lhe confere a Lei, em especial ao inciso XXIII do artigo 30 do Regimento Interno da Câmara Municipal;</w:t>
      </w:r>
    </w:p>
    <w:p>
      <w:pPr>
        <w:pStyle w:val="Corpodotexto"/>
        <w:spacing w:lineRule="auto" w:line="240" w:before="189" w:after="0"/>
        <w:jc w:val="both"/>
        <w:rPr>
          <w:rFonts w:ascii="Times New Roman" w:hAnsi="Times New Roman"/>
          <w:sz w:val="22"/>
          <w:szCs w:val="22"/>
        </w:rPr>
      </w:pPr>
      <w:r>
        <w:rPr>
          <w:color w:val="000000"/>
          <w:sz w:val="22"/>
          <w:szCs w:val="22"/>
        </w:rPr>
        <w:tab/>
        <w:t>Resolve:</w:t>
      </w:r>
    </w:p>
    <w:p>
      <w:pPr>
        <w:pStyle w:val="Corpodotexto"/>
        <w:spacing w:lineRule="auto" w:line="240"/>
        <w:jc w:val="both"/>
        <w:rPr>
          <w:rFonts w:ascii="Times New Roman" w:hAnsi="Times New Roman"/>
          <w:color w:val="000000"/>
          <w:sz w:val="22"/>
          <w:szCs w:val="22"/>
        </w:rPr>
      </w:pPr>
      <w:r>
        <w:rPr>
          <w:color w:val="000000"/>
          <w:sz w:val="22"/>
          <w:szCs w:val="22"/>
        </w:rPr>
      </w:r>
    </w:p>
    <w:p>
      <w:pPr>
        <w:pStyle w:val="Normal"/>
        <w:spacing w:lineRule="auto" w:line="240"/>
        <w:jc w:val="both"/>
        <w:rPr/>
      </w:pPr>
      <w:r>
        <w:rPr>
          <w:rStyle w:val="Fontepargpadro"/>
          <w:color w:val="000000"/>
          <w:sz w:val="22"/>
          <w:szCs w:val="22"/>
        </w:rPr>
        <w:tab/>
        <w:t xml:space="preserve">Art. 1º – Determinar abertura de processo administrativo para a aquisição/contratação de _______ </w:t>
      </w:r>
      <w:r>
        <w:rPr>
          <w:rStyle w:val="Fontepargpadro"/>
          <w:color w:val="3465A4"/>
          <w:sz w:val="22"/>
          <w:szCs w:val="22"/>
        </w:rPr>
        <w:t>Nota: especificar o objeto de aquisição/Contratação;</w:t>
      </w:r>
    </w:p>
    <w:p>
      <w:pPr>
        <w:pStyle w:val="Corpodotexto"/>
        <w:spacing w:lineRule="auto" w:line="240" w:before="0" w:after="0"/>
        <w:ind w:left="0" w:right="98" w:hanging="0"/>
        <w:jc w:val="both"/>
        <w:rPr>
          <w:rFonts w:ascii="Times New Roman" w:hAnsi="Times New Roman"/>
          <w:sz w:val="22"/>
          <w:szCs w:val="22"/>
        </w:rPr>
      </w:pPr>
      <w:r>
        <w:rPr>
          <w:color w:val="000000"/>
          <w:sz w:val="22"/>
          <w:szCs w:val="22"/>
        </w:rPr>
        <w:tab/>
        <w:t>Art. 2º – Determinar à Comissão de Compras/Contratação, que efetuem todos os procedimentos legais e necessários para adquirir/contratar o objeto descrito no art. 1º.</w:t>
      </w:r>
    </w:p>
    <w:p>
      <w:pPr>
        <w:pStyle w:val="Corpodotexto"/>
        <w:spacing w:lineRule="auto" w:line="240" w:before="0" w:after="0"/>
        <w:ind w:left="0" w:right="98" w:hanging="0"/>
        <w:jc w:val="both"/>
        <w:rPr>
          <w:rFonts w:ascii="Times New Roman" w:hAnsi="Times New Roman"/>
          <w:color w:val="000000"/>
          <w:sz w:val="22"/>
          <w:szCs w:val="22"/>
        </w:rPr>
      </w:pPr>
      <w:r>
        <w:rPr>
          <w:color w:val="000000"/>
          <w:sz w:val="22"/>
          <w:szCs w:val="22"/>
        </w:rPr>
      </w:r>
    </w:p>
    <w:p>
      <w:pPr>
        <w:pStyle w:val="Corpodotexto"/>
        <w:spacing w:lineRule="auto" w:line="240" w:before="0" w:after="0"/>
        <w:ind w:left="0" w:right="1799" w:hanging="0"/>
        <w:jc w:val="both"/>
        <w:rPr>
          <w:rFonts w:ascii="Times New Roman" w:hAnsi="Times New Roman"/>
          <w:sz w:val="22"/>
          <w:szCs w:val="22"/>
        </w:rPr>
      </w:pPr>
      <w:r>
        <w:rPr>
          <w:color w:val="000000"/>
          <w:sz w:val="22"/>
          <w:szCs w:val="22"/>
        </w:rPr>
        <w:tab/>
        <w:t>Art. 3º Esta portaria entra em vigor no dia de sua publicação.</w:t>
      </w:r>
    </w:p>
    <w:p>
      <w:pPr>
        <w:pStyle w:val="Corpodotexto"/>
        <w:tabs>
          <w:tab w:val="clear" w:pos="720"/>
        </w:tabs>
        <w:spacing w:lineRule="auto" w:line="240" w:before="193" w:after="0"/>
        <w:ind w:left="1914" w:right="0" w:hanging="0"/>
        <w:jc w:val="both"/>
        <w:rPr/>
      </w:pPr>
      <w:r>
        <w:rPr>
          <w:rStyle w:val="Fontepargpadro"/>
          <w:color w:val="000000"/>
          <w:sz w:val="22"/>
          <w:szCs w:val="22"/>
        </w:rPr>
        <w:t>Santana da Vargem, ____ de _________________ de 202_.</w:t>
      </w:r>
    </w:p>
    <w:p>
      <w:pPr>
        <w:pStyle w:val="Corpodotexto"/>
        <w:spacing w:lineRule="auto" w:line="240" w:before="0" w:after="0"/>
        <w:ind w:left="0" w:right="1799"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center"/>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center"/>
        <w:rPr>
          <w:rFonts w:ascii="Times New Roman" w:hAnsi="Times New Roman"/>
          <w:b/>
          <w:b/>
          <w:bCs/>
          <w:i w:val="false"/>
          <w:i w:val="false"/>
          <w:iCs w:val="false"/>
          <w:sz w:val="22"/>
          <w:szCs w:val="22"/>
        </w:rPr>
      </w:pPr>
      <w:r>
        <w:rPr>
          <w:b/>
          <w:bCs/>
          <w:i w:val="false"/>
          <w:iCs w:val="false"/>
          <w:sz w:val="22"/>
          <w:szCs w:val="22"/>
        </w:rPr>
        <w:t>___________________________________</w:t>
      </w:r>
    </w:p>
    <w:p>
      <w:pPr>
        <w:pStyle w:val="Corpodotexto"/>
        <w:spacing w:lineRule="auto" w:line="240"/>
        <w:ind w:left="0" w:right="130" w:hanging="0"/>
        <w:jc w:val="center"/>
        <w:rPr>
          <w:rFonts w:ascii="Times New Roman" w:hAnsi="Times New Roman"/>
          <w:sz w:val="22"/>
          <w:szCs w:val="22"/>
        </w:rPr>
      </w:pPr>
      <w:r>
        <w:rPr>
          <w:color w:val="000000"/>
          <w:sz w:val="22"/>
          <w:szCs w:val="22"/>
        </w:rPr>
        <w:t>Presidente da Câmara Municipal de Santana da Vargem/MG</w:t>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both"/>
        <w:rPr>
          <w:rFonts w:ascii="Times New Roman" w:hAnsi="Times New Roman"/>
          <w:b/>
          <w:b/>
          <w:bCs/>
          <w:i w:val="false"/>
          <w:i w:val="false"/>
          <w:iCs w:val="false"/>
          <w:sz w:val="22"/>
          <w:szCs w:val="22"/>
        </w:rPr>
      </w:pPr>
      <w:r>
        <w:rPr>
          <w:b/>
          <w:bCs/>
          <w:i w:val="false"/>
          <w:iCs w:val="false"/>
          <w:sz w:val="22"/>
          <w:szCs w:val="22"/>
        </w:rPr>
      </w:r>
    </w:p>
    <w:p>
      <w:pPr>
        <w:pStyle w:val="Corpodotexto"/>
        <w:widowControl w:val="false"/>
        <w:suppressAutoHyphens w:val="true"/>
        <w:bidi w:val="0"/>
        <w:spacing w:lineRule="auto" w:line="240" w:before="0" w:after="0"/>
        <w:ind w:left="0" w:right="0" w:hanging="0"/>
        <w:jc w:val="center"/>
        <w:rPr>
          <w:rFonts w:ascii="Times New Roman" w:hAnsi="Times New Roman"/>
          <w:sz w:val="22"/>
          <w:szCs w:val="22"/>
        </w:rPr>
      </w:pPr>
      <w:r>
        <w:rPr>
          <w:b/>
          <w:bCs/>
          <w:i w:val="false"/>
          <w:iCs w:val="false"/>
          <w:sz w:val="22"/>
          <w:szCs w:val="22"/>
        </w:rPr>
        <w:t>ANEXO III</w:t>
      </w:r>
    </w:p>
    <w:p>
      <w:pPr>
        <w:pStyle w:val="Corpodotexto"/>
        <w:widowControl w:val="false"/>
        <w:suppressAutoHyphens w:val="true"/>
        <w:bidi w:val="0"/>
        <w:spacing w:lineRule="auto" w:line="240" w:before="0" w:after="0"/>
        <w:ind w:left="0" w:right="0" w:hanging="0"/>
        <w:jc w:val="center"/>
        <w:rPr>
          <w:rFonts w:ascii="Times New Roman" w:hAnsi="Times New Roman"/>
          <w:sz w:val="22"/>
          <w:szCs w:val="22"/>
        </w:rPr>
      </w:pPr>
      <w:r>
        <w:rPr>
          <w:b/>
          <w:bCs/>
          <w:i w:val="false"/>
          <w:iCs w:val="false"/>
          <w:sz w:val="22"/>
          <w:szCs w:val="22"/>
        </w:rPr>
        <w:t>ESTUDO TÉCNICO DE CONTRATAÇÃO – ETP</w:t>
      </w:r>
    </w:p>
    <w:p>
      <w:pPr>
        <w:pStyle w:val="Corpodotexto"/>
        <w:widowControl w:val="false"/>
        <w:suppressAutoHyphens w:val="true"/>
        <w:bidi w:val="0"/>
        <w:spacing w:lineRule="auto" w:line="240" w:before="0" w:after="0"/>
        <w:ind w:left="0" w:right="0" w:hanging="0"/>
        <w:jc w:val="center"/>
        <w:rPr>
          <w:b/>
          <w:b/>
          <w:bCs/>
          <w:i w:val="false"/>
          <w:i w:val="false"/>
          <w:iCs w:val="false"/>
        </w:rPr>
      </w:pPr>
      <w:r>
        <w:rPr>
          <w:b/>
          <w:bCs/>
          <w:i w:val="false"/>
          <w:iCs w:val="false"/>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rFonts w:cs="Calibri"/>
                <w:b/>
                <w:color w:val="FFFFFF"/>
                <w:sz w:val="22"/>
                <w:szCs w:val="22"/>
              </w:rPr>
              <w:t>I – INFORMAÇÕES GERAIS – PROCESSO XXXX/202XX</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rFonts w:cs="Calibri"/>
                <w:b/>
                <w:color w:val="FFFFFF"/>
                <w:sz w:val="22"/>
                <w:szCs w:val="22"/>
              </w:rPr>
              <w:t>1. Comissão de Compras/Contratação, área Técnica e Solicitante</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b/>
                <w:b/>
                <w:color w:val="548DD4"/>
                <w:sz w:val="22"/>
                <w:szCs w:val="22"/>
              </w:rPr>
            </w:pPr>
            <w:r>
              <w:rPr>
                <w:rFonts w:cs="Calibri"/>
                <w:b/>
                <w:color w:val="548DD4"/>
                <w:sz w:val="22"/>
                <w:szCs w:val="22"/>
              </w:rPr>
            </w:r>
          </w:p>
          <w:tbl>
            <w:tblPr>
              <w:tblW w:w="9169" w:type="dxa"/>
              <w:jc w:val="left"/>
              <w:tblInd w:w="53" w:type="dxa"/>
              <w:tblLayout w:type="fixed"/>
              <w:tblCellMar>
                <w:top w:w="0" w:type="dxa"/>
                <w:left w:w="108" w:type="dxa"/>
                <w:bottom w:w="0" w:type="dxa"/>
                <w:right w:w="108" w:type="dxa"/>
              </w:tblCellMar>
            </w:tblPr>
            <w:tblGrid>
              <w:gridCol w:w="7745"/>
              <w:gridCol w:w="1423"/>
            </w:tblGrid>
            <w:tr>
              <w:trPr/>
              <w:tc>
                <w:tcPr>
                  <w:tcW w:w="7745" w:type="dxa"/>
                  <w:tcBorders>
                    <w:top w:val="single" w:sz="4" w:space="0" w:color="000000"/>
                    <w:left w:val="single" w:sz="4" w:space="0" w:color="000000"/>
                    <w:bottom w:val="single" w:sz="4" w:space="0" w:color="000000"/>
                    <w:right w:val="single" w:sz="4" w:space="0" w:color="000000"/>
                  </w:tcBorders>
                  <w:vAlign w:val="center"/>
                </w:tcPr>
                <w:p>
                  <w:pPr>
                    <w:pStyle w:val="PargrafodaLista"/>
                    <w:widowControl w:val="false"/>
                    <w:tabs>
                      <w:tab w:val="clear" w:pos="720"/>
                      <w:tab w:val="left" w:pos="1517" w:leader="none"/>
                      <w:tab w:val="left" w:pos="1518" w:leader="none"/>
                    </w:tabs>
                    <w:spacing w:lineRule="auto" w:line="240"/>
                    <w:ind w:left="0" w:hanging="0"/>
                    <w:jc w:val="both"/>
                    <w:rPr>
                      <w:rFonts w:ascii="Times New Roman" w:hAnsi="Times New Roman"/>
                      <w:sz w:val="22"/>
                      <w:szCs w:val="22"/>
                    </w:rPr>
                  </w:pPr>
                  <w:r>
                    <w:rPr>
                      <w:rFonts w:cs="Calibri"/>
                      <w:b/>
                      <w:bCs/>
                      <w:sz w:val="22"/>
                      <w:szCs w:val="22"/>
                    </w:rPr>
                    <w:t>Nome</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PargrafodaLista"/>
                    <w:widowControl w:val="false"/>
                    <w:tabs>
                      <w:tab w:val="clear" w:pos="720"/>
                      <w:tab w:val="left" w:pos="1517" w:leader="none"/>
                      <w:tab w:val="left" w:pos="1518" w:leader="none"/>
                    </w:tabs>
                    <w:spacing w:lineRule="auto" w:line="240"/>
                    <w:ind w:left="0" w:hanging="0"/>
                    <w:jc w:val="both"/>
                    <w:rPr>
                      <w:rFonts w:ascii="Times New Roman" w:hAnsi="Times New Roman"/>
                      <w:sz w:val="22"/>
                      <w:szCs w:val="22"/>
                    </w:rPr>
                  </w:pPr>
                  <w:r>
                    <w:rPr>
                      <w:rFonts w:cs="Calibri"/>
                      <w:b/>
                      <w:bCs/>
                      <w:sz w:val="22"/>
                      <w:szCs w:val="22"/>
                    </w:rPr>
                    <w:t>Cargo/função</w:t>
                  </w:r>
                </w:p>
              </w:tc>
            </w:tr>
            <w:tr>
              <w:trPr/>
              <w:tc>
                <w:tcPr>
                  <w:tcW w:w="7745" w:type="dxa"/>
                  <w:tcBorders>
                    <w:top w:val="single" w:sz="4" w:space="0" w:color="000000"/>
                    <w:left w:val="single" w:sz="4" w:space="0" w:color="000000"/>
                    <w:bottom w:val="single" w:sz="4" w:space="0" w:color="000000"/>
                    <w:right w:val="single" w:sz="4" w:space="0" w:color="000000"/>
                  </w:tcBorders>
                </w:tcPr>
                <w:p>
                  <w:pPr>
                    <w:pStyle w:val="PargrafodaLista"/>
                    <w:widowControl w:val="false"/>
                    <w:tabs>
                      <w:tab w:val="clear" w:pos="720"/>
                      <w:tab w:val="left" w:pos="1517" w:leader="none"/>
                      <w:tab w:val="left" w:pos="1518" w:leader="none"/>
                    </w:tabs>
                    <w:snapToGrid w:val="false"/>
                    <w:spacing w:lineRule="auto" w:line="240"/>
                    <w:ind w:left="0" w:hanging="0"/>
                    <w:jc w:val="both"/>
                    <w:rPr>
                      <w:rFonts w:ascii="Times New Roman" w:hAnsi="Times New Roman" w:cs="Calibri"/>
                      <w:b/>
                      <w:b/>
                      <w:bCs/>
                      <w:sz w:val="22"/>
                      <w:szCs w:val="22"/>
                    </w:rPr>
                  </w:pPr>
                  <w:r>
                    <w:rPr>
                      <w:rFonts w:cs="Calibri"/>
                      <w:b/>
                      <w:bCs/>
                      <w:sz w:val="22"/>
                      <w:szCs w:val="22"/>
                    </w:rPr>
                  </w:r>
                </w:p>
              </w:tc>
              <w:tc>
                <w:tcPr>
                  <w:tcW w:w="1423" w:type="dxa"/>
                  <w:tcBorders>
                    <w:top w:val="single" w:sz="4" w:space="0" w:color="000000"/>
                    <w:left w:val="single" w:sz="4" w:space="0" w:color="000000"/>
                    <w:bottom w:val="single" w:sz="4" w:space="0" w:color="000000"/>
                    <w:right w:val="single" w:sz="4" w:space="0" w:color="000000"/>
                  </w:tcBorders>
                </w:tcPr>
                <w:p>
                  <w:pPr>
                    <w:pStyle w:val="PargrafodaLista"/>
                    <w:widowControl w:val="false"/>
                    <w:tabs>
                      <w:tab w:val="clear" w:pos="720"/>
                      <w:tab w:val="left" w:pos="1517" w:leader="none"/>
                      <w:tab w:val="left" w:pos="1518" w:leader="none"/>
                    </w:tabs>
                    <w:snapToGrid w:val="false"/>
                    <w:spacing w:lineRule="auto" w:line="240"/>
                    <w:ind w:left="0" w:hanging="0"/>
                    <w:jc w:val="both"/>
                    <w:rPr>
                      <w:rFonts w:ascii="Times New Roman" w:hAnsi="Times New Roman" w:cs="Calibri"/>
                      <w:sz w:val="22"/>
                      <w:szCs w:val="22"/>
                    </w:rPr>
                  </w:pPr>
                  <w:r>
                    <w:rPr>
                      <w:rFonts w:cs="Calibri"/>
                      <w:sz w:val="22"/>
                      <w:szCs w:val="22"/>
                    </w:rPr>
                  </w:r>
                </w:p>
              </w:tc>
            </w:tr>
            <w:tr>
              <w:trPr/>
              <w:tc>
                <w:tcPr>
                  <w:tcW w:w="7745" w:type="dxa"/>
                  <w:tcBorders>
                    <w:top w:val="single" w:sz="4" w:space="0" w:color="000000"/>
                    <w:left w:val="single" w:sz="4" w:space="0" w:color="000000"/>
                    <w:bottom w:val="single" w:sz="4" w:space="0" w:color="000000"/>
                    <w:right w:val="single" w:sz="4" w:space="0" w:color="000000"/>
                  </w:tcBorders>
                </w:tcPr>
                <w:p>
                  <w:pPr>
                    <w:pStyle w:val="PargrafodaLista"/>
                    <w:widowControl w:val="false"/>
                    <w:tabs>
                      <w:tab w:val="clear" w:pos="720"/>
                      <w:tab w:val="left" w:pos="1517" w:leader="none"/>
                      <w:tab w:val="left" w:pos="1518" w:leader="none"/>
                    </w:tabs>
                    <w:snapToGrid w:val="false"/>
                    <w:spacing w:lineRule="auto" w:line="240"/>
                    <w:ind w:left="0" w:hanging="0"/>
                    <w:jc w:val="both"/>
                    <w:rPr>
                      <w:rFonts w:ascii="Times New Roman" w:hAnsi="Times New Roman" w:cs="Calibri"/>
                      <w:sz w:val="22"/>
                      <w:szCs w:val="22"/>
                    </w:rPr>
                  </w:pPr>
                  <w:r>
                    <w:rPr>
                      <w:rFonts w:cs="Calibri"/>
                      <w:sz w:val="22"/>
                      <w:szCs w:val="22"/>
                    </w:rPr>
                  </w:r>
                </w:p>
              </w:tc>
              <w:tc>
                <w:tcPr>
                  <w:tcW w:w="1423" w:type="dxa"/>
                  <w:tcBorders>
                    <w:top w:val="single" w:sz="4" w:space="0" w:color="000000"/>
                    <w:left w:val="single" w:sz="4" w:space="0" w:color="000000"/>
                    <w:bottom w:val="single" w:sz="4" w:space="0" w:color="000000"/>
                    <w:right w:val="single" w:sz="4" w:space="0" w:color="000000"/>
                  </w:tcBorders>
                </w:tcPr>
                <w:p>
                  <w:pPr>
                    <w:pStyle w:val="PargrafodaLista"/>
                    <w:widowControl w:val="false"/>
                    <w:tabs>
                      <w:tab w:val="clear" w:pos="720"/>
                      <w:tab w:val="left" w:pos="1517" w:leader="none"/>
                      <w:tab w:val="left" w:pos="1518" w:leader="none"/>
                    </w:tabs>
                    <w:snapToGrid w:val="false"/>
                    <w:spacing w:lineRule="auto" w:line="240"/>
                    <w:ind w:left="0" w:hanging="0"/>
                    <w:jc w:val="both"/>
                    <w:rPr>
                      <w:rFonts w:ascii="Times New Roman" w:hAnsi="Times New Roman" w:cs="Calibri"/>
                      <w:sz w:val="22"/>
                      <w:szCs w:val="22"/>
                    </w:rPr>
                  </w:pPr>
                  <w:r>
                    <w:rPr>
                      <w:rFonts w:cs="Calibri"/>
                      <w:sz w:val="22"/>
                      <w:szCs w:val="22"/>
                    </w:rPr>
                  </w:r>
                </w:p>
              </w:tc>
            </w:tr>
            <w:tr>
              <w:trPr/>
              <w:tc>
                <w:tcPr>
                  <w:tcW w:w="7745" w:type="dxa"/>
                  <w:tcBorders>
                    <w:top w:val="single" w:sz="4" w:space="0" w:color="000000"/>
                    <w:left w:val="single" w:sz="4" w:space="0" w:color="000000"/>
                    <w:bottom w:val="single" w:sz="4" w:space="0" w:color="000000"/>
                    <w:right w:val="single" w:sz="4" w:space="0" w:color="000000"/>
                  </w:tcBorders>
                </w:tcPr>
                <w:p>
                  <w:pPr>
                    <w:pStyle w:val="PargrafodaLista"/>
                    <w:widowControl w:val="false"/>
                    <w:tabs>
                      <w:tab w:val="clear" w:pos="720"/>
                      <w:tab w:val="left" w:pos="1517" w:leader="none"/>
                      <w:tab w:val="left" w:pos="1518" w:leader="none"/>
                    </w:tabs>
                    <w:snapToGrid w:val="false"/>
                    <w:spacing w:lineRule="auto" w:line="240"/>
                    <w:ind w:left="0" w:hanging="0"/>
                    <w:jc w:val="both"/>
                    <w:rPr>
                      <w:rFonts w:ascii="Times New Roman" w:hAnsi="Times New Roman" w:cs="Calibri"/>
                      <w:sz w:val="22"/>
                      <w:szCs w:val="22"/>
                    </w:rPr>
                  </w:pPr>
                  <w:r>
                    <w:rPr>
                      <w:rFonts w:cs="Calibri"/>
                      <w:sz w:val="22"/>
                      <w:szCs w:val="22"/>
                    </w:rPr>
                  </w:r>
                </w:p>
              </w:tc>
              <w:tc>
                <w:tcPr>
                  <w:tcW w:w="1423" w:type="dxa"/>
                  <w:tcBorders>
                    <w:top w:val="single" w:sz="4" w:space="0" w:color="000000"/>
                    <w:left w:val="single" w:sz="4" w:space="0" w:color="000000"/>
                    <w:bottom w:val="single" w:sz="4" w:space="0" w:color="000000"/>
                    <w:right w:val="single" w:sz="4" w:space="0" w:color="000000"/>
                  </w:tcBorders>
                </w:tcPr>
                <w:p>
                  <w:pPr>
                    <w:pStyle w:val="PargrafodaLista"/>
                    <w:widowControl w:val="false"/>
                    <w:tabs>
                      <w:tab w:val="clear" w:pos="720"/>
                      <w:tab w:val="left" w:pos="1517" w:leader="none"/>
                      <w:tab w:val="left" w:pos="1518" w:leader="none"/>
                    </w:tabs>
                    <w:snapToGrid w:val="false"/>
                    <w:spacing w:lineRule="auto" w:line="240"/>
                    <w:ind w:left="0" w:hanging="0"/>
                    <w:jc w:val="both"/>
                    <w:rPr>
                      <w:rFonts w:ascii="Times New Roman" w:hAnsi="Times New Roman" w:cs="Calibri"/>
                      <w:sz w:val="22"/>
                      <w:szCs w:val="22"/>
                    </w:rPr>
                  </w:pPr>
                  <w:r>
                    <w:rPr>
                      <w:rFonts w:cs="Calibri"/>
                      <w:sz w:val="22"/>
                      <w:szCs w:val="22"/>
                    </w:rPr>
                  </w:r>
                </w:p>
              </w:tc>
            </w:tr>
          </w:tbl>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color w:val="548DD4"/>
                <w:sz w:val="22"/>
                <w:szCs w:val="22"/>
              </w:rPr>
              <w:t>Nota: o ETP deverá ser elaborado conjuntamente por integrantes das áreas solicitante e técnica. Os integrantes das áreas técnica e solicitante, quando for o caso, considerando a complexidade do problema a ser analisado no ETP, poderão solicitar apoio técnico de colaboradores de outras unidades, órgãos ou entidades que detenham competências específicas exigidas para a confecção do documento.</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rFonts w:cs="Calibri"/>
                <w:b/>
                <w:color w:val="FFFFFF"/>
                <w:sz w:val="22"/>
                <w:szCs w:val="22"/>
              </w:rPr>
              <w:t>II – DIAGNÓSTICO SITUAÇÃO ATUAL</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right="225" w:hanging="0"/>
              <w:jc w:val="both"/>
              <w:rPr>
                <w:rFonts w:ascii="Times New Roman" w:hAnsi="Times New Roman"/>
                <w:sz w:val="22"/>
                <w:szCs w:val="22"/>
              </w:rPr>
            </w:pPr>
            <w:r>
              <w:rPr>
                <w:rFonts w:cs="Calibri"/>
                <w:b/>
                <w:bCs/>
                <w:color w:val="FFFFFF"/>
                <w:sz w:val="22"/>
                <w:szCs w:val="22"/>
              </w:rPr>
              <w:t xml:space="preserve">1. Descrição do problema a ser resolvido ou da necessidade apresentada </w:t>
            </w:r>
            <w:r>
              <w:rPr>
                <w:rFonts w:cs="Arial"/>
                <w:b/>
                <w:color w:val="FFFFFF"/>
                <w:sz w:val="22"/>
                <w:szCs w:val="22"/>
              </w:rPr>
              <w:t>(art. 18, § 1º, 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b/>
                <w:bCs/>
                <w:color w:val="548DD4"/>
                <w:sz w:val="22"/>
                <w:szCs w:val="22"/>
              </w:rPr>
              <w:t>o</w:t>
            </w:r>
            <w:r>
              <w:rPr>
                <w:rFonts w:cs="Calibri"/>
                <w:color w:val="548DD4"/>
                <w:sz w:val="22"/>
                <w:szCs w:val="22"/>
              </w:rPr>
              <w:t xml:space="preserve"> ETP deverá evidenciar o problema a ser resolvido de modo a permitir a avaliação da viabilidade técnica e econômica da contratação, para tanto deve ser abordada aqui a situação atual, apontando o contexto do órgão/entidade, qual o problema/ interesse público a ser atendido, como o órgão/entidade vem lidando atualmente com esse problema, qual o valor já desprendido pela organização, etc.</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right="225" w:hanging="0"/>
              <w:jc w:val="both"/>
              <w:rPr>
                <w:rFonts w:ascii="Times New Roman" w:hAnsi="Times New Roman"/>
                <w:sz w:val="22"/>
                <w:szCs w:val="22"/>
              </w:rPr>
            </w:pPr>
            <w:r>
              <w:rPr>
                <w:rFonts w:cs="Calibri"/>
                <w:b/>
                <w:bCs/>
                <w:color w:val="FFFFFF"/>
                <w:sz w:val="22"/>
                <w:szCs w:val="22"/>
              </w:rPr>
              <w:t xml:space="preserve">2. Demonstração da previsão da contratação com o Plano Anual de Compras </w:t>
            </w:r>
            <w:r>
              <w:rPr>
                <w:rFonts w:cs="Arial"/>
                <w:b/>
                <w:color w:val="FFFFFF"/>
                <w:sz w:val="22"/>
                <w:szCs w:val="22"/>
              </w:rPr>
              <w:t>(art. 18, § 1º, II,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Deverá ser demonstrado o alinhamento entre a potencial contratação e o planejamento do órgão/entidade a partir da previsão no Plano Anual de Compras.</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 xml:space="preserve">3. Descrição dos requisitos da potencial contratação </w:t>
            </w:r>
            <w:r>
              <w:rPr>
                <w:rFonts w:cs="Arial"/>
                <w:b/>
                <w:color w:val="FFFFFF"/>
                <w:sz w:val="22"/>
                <w:szCs w:val="22"/>
              </w:rPr>
              <w:t>(art. 18, § 1º, III,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6"/>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Deve-se descrever os requisitos necessários ao atendimento da demanda. e os padrões mínimos, de forma a permitir a seleção da proposta mais vantajosa.</w:t>
            </w:r>
          </w:p>
          <w:p>
            <w:pPr>
              <w:pStyle w:val="Normal"/>
              <w:widowControl w:val="false"/>
              <w:suppressAutoHyphens w:val="true"/>
              <w:spacing w:lineRule="auto" w:line="240" w:before="0" w:after="6"/>
              <w:ind w:left="196" w:right="-33" w:hanging="0"/>
              <w:jc w:val="both"/>
              <w:rPr>
                <w:rFonts w:ascii="Times New Roman" w:hAnsi="Times New Roman"/>
                <w:sz w:val="22"/>
                <w:szCs w:val="22"/>
              </w:rPr>
            </w:pPr>
            <w:r>
              <w:rPr>
                <w:rFonts w:cs="Calibri"/>
                <w:b/>
                <w:bCs/>
                <w:color w:val="548DD4"/>
                <w:sz w:val="22"/>
                <w:szCs w:val="22"/>
              </w:rPr>
              <w:t>Que requisitos são indispensáveis?</w:t>
            </w:r>
            <w:r>
              <w:rPr>
                <w:rFonts w:cs="Calibri"/>
                <w:color w:val="548DD4"/>
                <w:sz w:val="22"/>
                <w:szCs w:val="22"/>
              </w:rPr>
              <w:t xml:space="preserve"> Exemplos: disponibilização de profissionais especializados, solução tecnológica, fornecimento de materiais, etc.</w:t>
            </w:r>
          </w:p>
          <w:p>
            <w:pPr>
              <w:pStyle w:val="Normal"/>
              <w:widowControl w:val="false"/>
              <w:suppressAutoHyphens w:val="true"/>
              <w:spacing w:lineRule="auto" w:line="240" w:before="0" w:after="6"/>
              <w:ind w:left="196" w:right="-33" w:hanging="0"/>
              <w:jc w:val="both"/>
              <w:rPr>
                <w:rFonts w:ascii="Times New Roman" w:hAnsi="Times New Roman"/>
                <w:sz w:val="22"/>
                <w:szCs w:val="22"/>
              </w:rPr>
            </w:pPr>
            <w:r>
              <w:rPr>
                <w:rFonts w:cs="Calibri"/>
                <w:b/>
                <w:bCs/>
                <w:color w:val="548DD4"/>
                <w:sz w:val="22"/>
                <w:szCs w:val="22"/>
              </w:rPr>
              <w:t>Quais são os padrões mínimos de qualidade?</w:t>
            </w:r>
            <w:r>
              <w:rPr>
                <w:rFonts w:cs="Calibri"/>
                <w:color w:val="548DD4"/>
                <w:sz w:val="22"/>
                <w:szCs w:val="22"/>
              </w:rPr>
              <w:t xml:space="preserve"> Exemplos: especificações técnicas, necessidade de amostras, etc.</w:t>
            </w:r>
          </w:p>
          <w:p>
            <w:pPr>
              <w:pStyle w:val="Normal"/>
              <w:widowControl w:val="false"/>
              <w:suppressAutoHyphens w:val="true"/>
              <w:spacing w:lineRule="auto" w:line="240" w:before="0" w:after="6"/>
              <w:ind w:left="196" w:right="-33" w:hanging="0"/>
              <w:jc w:val="both"/>
              <w:rPr>
                <w:rFonts w:ascii="Times New Roman" w:hAnsi="Times New Roman"/>
                <w:sz w:val="22"/>
                <w:szCs w:val="22"/>
              </w:rPr>
            </w:pPr>
            <w:r>
              <w:rPr>
                <w:rFonts w:cs="Calibri"/>
                <w:b/>
                <w:bCs/>
                <w:color w:val="548DD4"/>
                <w:sz w:val="22"/>
                <w:szCs w:val="22"/>
              </w:rPr>
              <w:t>Qual a duração do contrato?</w:t>
            </w:r>
            <w:r>
              <w:rPr>
                <w:rFonts w:cs="Calibri"/>
                <w:color w:val="548DD4"/>
                <w:sz w:val="22"/>
                <w:szCs w:val="22"/>
              </w:rPr>
              <w:t xml:space="preserve"> A duração servirá de base para que a análise de vantajosidade na contratação anual ou plurianual.</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4. Estimativas das quantidades para contratação, acompanhadas de memórias de cálculo e dos documentos que lhe dão suporte (considerar interdependências com outras contratações, de modo a possibilitar economia de escala) (art. 18, § 1º, IV,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b/>
                <w:color w:val="548DD4"/>
                <w:sz w:val="22"/>
                <w:szCs w:val="22"/>
              </w:rPr>
              <w:t>Nota: a</w:t>
            </w:r>
            <w:r>
              <w:rPr>
                <w:rFonts w:cs="Calibri"/>
                <w:color w:val="548DD4"/>
                <w:sz w:val="22"/>
                <w:szCs w:val="22"/>
              </w:rPr>
              <w:t>s quantidades devem ser estimadas com base em dados como série histórica de consumo, análise de tendência de queda ou alta. A justificativa deve ser acompanhada de documentos comprobatórios.</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rFonts w:cs="Calibri"/>
                <w:b/>
                <w:color w:val="FFFFFF"/>
                <w:sz w:val="22"/>
                <w:szCs w:val="22"/>
              </w:rPr>
              <w:t>III – PROSPECÇÃO DE SOLUÇÕES</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before="0" w:after="0"/>
              <w:ind w:left="100" w:hanging="0"/>
              <w:contextualSpacing/>
              <w:jc w:val="both"/>
              <w:rPr>
                <w:rFonts w:ascii="Times New Roman" w:hAnsi="Times New Roman"/>
                <w:sz w:val="22"/>
                <w:szCs w:val="22"/>
              </w:rPr>
            </w:pPr>
            <w:r>
              <w:rPr>
                <w:rFonts w:cs="Calibri"/>
                <w:b/>
                <w:bCs/>
                <w:color w:val="FFFFFF"/>
                <w:sz w:val="22"/>
                <w:szCs w:val="22"/>
              </w:rPr>
              <w:t>1. Levantamento mercadológico (que consiste na análise das alternativas possíveis, e justificativa</w:t>
            </w:r>
          </w:p>
          <w:p>
            <w:pPr>
              <w:pStyle w:val="PargrafodaLista"/>
              <w:widowControl w:val="false"/>
              <w:numPr>
                <w:ilvl w:val="0"/>
                <w:numId w:val="0"/>
              </w:numPr>
              <w:spacing w:lineRule="auto" w:line="240" w:before="0" w:after="0"/>
              <w:ind w:left="100" w:hanging="0"/>
              <w:contextualSpacing/>
              <w:jc w:val="both"/>
              <w:rPr>
                <w:rFonts w:ascii="Times New Roman" w:hAnsi="Times New Roman"/>
                <w:sz w:val="22"/>
                <w:szCs w:val="22"/>
              </w:rPr>
            </w:pPr>
            <w:r>
              <w:rPr>
                <w:rFonts w:cs="Calibri"/>
                <w:b/>
                <w:bCs/>
                <w:color w:val="FFFFFF"/>
                <w:sz w:val="22"/>
                <w:szCs w:val="22"/>
              </w:rPr>
              <w:t>técnica e econômica da escolha do tipo de solução a contratar) (art. 18, § 1º, V,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O levantamento mercadológico é a etapa onde se deve pesquisar e avaliar as alternativas possíveis de soluções para o problema descrito com o objetivo de identificar no mercado a existência de metodologias, tecnologias e soluções que melhor atendam às necessidades do órgão/entidade.</w:t>
            </w:r>
          </w:p>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color w:val="548DD4"/>
                <w:sz w:val="22"/>
                <w:szCs w:val="22"/>
              </w:rPr>
              <w:t>A pesquisa deve buscar o maior número de fontes possíveis, como contratações similares, pesquisa com fornecedores, publicações especializadas, consulta pública etc.</w:t>
            </w:r>
          </w:p>
          <w:p>
            <w:pPr>
              <w:pStyle w:val="Normal"/>
              <w:widowControl w:val="false"/>
              <w:spacing w:lineRule="auto" w:line="240"/>
              <w:ind w:left="196" w:hanging="0"/>
              <w:jc w:val="both"/>
              <w:rPr>
                <w:rFonts w:ascii="Times New Roman" w:hAnsi="Times New Roman"/>
                <w:sz w:val="22"/>
                <w:szCs w:val="22"/>
              </w:rPr>
            </w:pPr>
            <w:r>
              <w:rPr>
                <w:rFonts w:cs="Calibri"/>
                <w:color w:val="548DD4"/>
                <w:sz w:val="22"/>
                <w:szCs w:val="22"/>
              </w:rPr>
              <w:t>Caso, após o levantamento do mercado, a quantidade de fornecedores for considerada restrita, deve-se verificar se os requisitos que limitam a participação são realmente indispensáveis, flexibilizando-os sempre que possível. (Art. 11 § 3º)</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100" w:hanging="0"/>
              <w:jc w:val="both"/>
              <w:rPr>
                <w:rFonts w:ascii="Times New Roman" w:hAnsi="Times New Roman"/>
                <w:sz w:val="22"/>
                <w:szCs w:val="22"/>
              </w:rPr>
            </w:pPr>
            <w:r>
              <w:rPr>
                <w:rFonts w:cs="Calibri"/>
                <w:b/>
                <w:bCs/>
                <w:color w:val="FFFFFF"/>
                <w:sz w:val="22"/>
                <w:szCs w:val="22"/>
              </w:rPr>
              <w:t>2. Estimativa do valor da contratação (art. 18, § 1º, VI,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A estimativa do valor da contratação busca avaliar a viabilidade econômica financeira da contratação, não devendo ser confundida com a pesquisa para elaboração de preço referência para a futura licitação.</w:t>
            </w:r>
          </w:p>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color w:val="548DD4"/>
                <w:sz w:val="22"/>
                <w:szCs w:val="22"/>
              </w:rPr>
              <w:t>A estimativa deve vir acompanhada de preços unitários referenciais, das memórias de cálculo e dos documentos que lhe dão suporte (poderão constar de peça sigilosa se o órgão/entidade optar por preservar o seu sigilo até a conclusão da licitação).</w:t>
            </w:r>
          </w:p>
          <w:p>
            <w:pPr>
              <w:pStyle w:val="Normal"/>
              <w:widowControl w:val="false"/>
              <w:suppressAutoHyphens w:val="true"/>
              <w:spacing w:lineRule="auto" w:line="240" w:before="0" w:after="360"/>
              <w:ind w:left="196" w:hanging="0"/>
              <w:jc w:val="both"/>
              <w:rPr>
                <w:rFonts w:ascii="Times New Roman" w:hAnsi="Times New Roman"/>
                <w:sz w:val="22"/>
                <w:szCs w:val="22"/>
              </w:rPr>
            </w:pPr>
            <w:r>
              <w:rPr>
                <w:rFonts w:cs="Calibri"/>
                <w:color w:val="548DD4"/>
                <w:sz w:val="22"/>
                <w:szCs w:val="22"/>
              </w:rPr>
              <w:t>Além do valor do objeto, devem ser avaliados custos adicionais que poderão advir da contratação, como peças, reformas, necessidade de contratação de pessoal, etc.</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100" w:hanging="0"/>
              <w:jc w:val="both"/>
              <w:rPr>
                <w:rFonts w:ascii="Times New Roman" w:hAnsi="Times New Roman"/>
                <w:sz w:val="22"/>
                <w:szCs w:val="22"/>
              </w:rPr>
            </w:pPr>
            <w:r>
              <w:rPr>
                <w:rFonts w:cs="Calibri"/>
                <w:b/>
                <w:bCs/>
                <w:color w:val="FFFFFF"/>
                <w:sz w:val="22"/>
                <w:szCs w:val="22"/>
              </w:rPr>
              <w:t>3. Comparativo das soluções</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O comparativo visa demonstrar as vantagens e desvantagens de cada uma das soluções a fim de sistematizar e subsidiar a tomada de decisão e deve trazer documentos comprobatórios da análise.</w:t>
            </w:r>
          </w:p>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color w:val="548DD4"/>
                <w:sz w:val="22"/>
                <w:szCs w:val="22"/>
              </w:rPr>
              <w:t>A análise deve se basear, no mínimo, nos seguintes critérios:</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I – vantajosidade econômica, preferencialmente pela comparação do custo total das soluções propostas e da solução atual, quando for o caso;</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II – ganhos de eficiência administrativa, pela economia de tempo, de recursos materiais e de pessoal;</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III – continuidade sustentável do modelo de fornecimento do bem ou da prestação de serviço para a Administração;</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IV – sustentabilidade social e ambiental, por meio da consideração de objetivos secundários da política de compras públicas;</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V – incorporação de tecnologias que permitam ganhos de eficiência, exatidão, segurança, transparência, impessoalidade, padronização ou controle;</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VI – possibilidade de compra ou de locação de bens, a serem avaliados os custos e os benefícios de cada opção para escolha da alternativa mais vantajosa; e</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VII – opções menos onerosas à Administração, tais como chamamentos públicos de doação e permutas (Art. 17)</w:t>
            </w:r>
          </w:p>
          <w:p>
            <w:pPr>
              <w:pStyle w:val="Normal"/>
              <w:widowControl w:val="false"/>
              <w:suppressAutoHyphens w:val="true"/>
              <w:spacing w:lineRule="auto" w:line="240" w:before="0" w:after="0"/>
              <w:ind w:left="196" w:right="-33" w:hanging="0"/>
              <w:jc w:val="both"/>
              <w:rPr>
                <w:rFonts w:ascii="Times New Roman" w:hAnsi="Times New Roman"/>
                <w:sz w:val="22"/>
                <w:szCs w:val="22"/>
              </w:rPr>
            </w:pPr>
            <w:r>
              <w:rPr>
                <w:rFonts w:cs="Calibri"/>
                <w:color w:val="548DD4"/>
                <w:sz w:val="22"/>
                <w:szCs w:val="22"/>
              </w:rPr>
              <w:t>Em caso de possibilidade de compra ou locação de bens, devem ser avaliados os custos e os benefícios de cada opção para a escolha da alternativa mais vantajosa.</w:t>
            </w:r>
          </w:p>
          <w:p>
            <w:pPr>
              <w:pStyle w:val="Normal"/>
              <w:widowControl w:val="false"/>
              <w:spacing w:lineRule="auto" w:line="240"/>
              <w:jc w:val="both"/>
              <w:rPr>
                <w:rFonts w:ascii="Times New Roman" w:hAnsi="Times New Roman" w:cs="Calibri"/>
                <w:color w:val="C00000"/>
                <w:sz w:val="22"/>
                <w:szCs w:val="22"/>
              </w:rPr>
            </w:pPr>
            <w:r>
              <w:rPr>
                <w:rFonts w:cs="Calibri"/>
                <w:color w:val="C00000"/>
                <w:sz w:val="22"/>
                <w:szCs w:val="22"/>
              </w:rPr>
            </w:r>
          </w:p>
          <w:tbl>
            <w:tblPr>
              <w:tblW w:w="5000" w:type="pct"/>
              <w:jc w:val="left"/>
              <w:tblInd w:w="0" w:type="dxa"/>
              <w:tblLayout w:type="fixed"/>
              <w:tblCellMar>
                <w:top w:w="0" w:type="dxa"/>
                <w:left w:w="108" w:type="dxa"/>
                <w:bottom w:w="0" w:type="dxa"/>
                <w:right w:w="108" w:type="dxa"/>
              </w:tblCellMar>
            </w:tblPr>
            <w:tblGrid>
              <w:gridCol w:w="1864"/>
              <w:gridCol w:w="1876"/>
              <w:gridCol w:w="1867"/>
              <w:gridCol w:w="1874"/>
              <w:gridCol w:w="1872"/>
            </w:tblGrid>
            <w:tr>
              <w:trPr/>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Requisitos</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Solução 1</w:t>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Solução 2</w:t>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Solução (...)</w:t>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Solução N</w:t>
                  </w:r>
                </w:p>
              </w:tc>
            </w:tr>
            <w:tr>
              <w:trPr/>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Requisito 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atende</w:t>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não atende</w:t>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r>
            <w:tr>
              <w:trPr/>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Requisito 2</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r>
            <w:tr>
              <w:trPr/>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Requisito (...)</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r>
            <w:tr>
              <w:trPr/>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
                      <w:iCs/>
                      <w:color w:val="4F81BD"/>
                      <w:sz w:val="22"/>
                      <w:szCs w:val="22"/>
                      <w:highlight w:val="lightGray"/>
                    </w:rPr>
                    <w:t>Requisito N</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color w:val="4F81BD"/>
                      <w:sz w:val="22"/>
                      <w:szCs w:val="22"/>
                    </w:rPr>
                  </w:pPr>
                  <w:r>
                    <w:rPr>
                      <w:rFonts w:cs="Calibri"/>
                      <w:color w:val="4F81BD"/>
                      <w:sz w:val="22"/>
                      <w:szCs w:val="22"/>
                    </w:rPr>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highlight w:val="lightGray"/>
                    </w:rPr>
                  </w:pPr>
                  <w:r>
                    <w:rPr>
                      <w:rFonts w:cs="Calibri"/>
                      <w:i/>
                      <w:iCs/>
                      <w:color w:val="4F81BD"/>
                      <w:sz w:val="22"/>
                      <w:szCs w:val="22"/>
                      <w:highlight w:val="lightGray"/>
                    </w:rPr>
                  </w:r>
                </w:p>
              </w:tc>
            </w:tr>
            <w:tr>
              <w:trPr/>
              <w:tc>
                <w:tcPr>
                  <w:tcW w:w="1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bCs/>
                      <w:iCs/>
                      <w:color w:val="4F81BD"/>
                      <w:sz w:val="22"/>
                      <w:szCs w:val="22"/>
                      <w:highlight w:val="lightGray"/>
                    </w:rPr>
                    <w:t>Estimativa de valor</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Calibri"/>
                      <w:iCs/>
                      <w:color w:val="4F81BD"/>
                      <w:sz w:val="22"/>
                      <w:szCs w:val="22"/>
                    </w:rPr>
                    <w:t>R$</w:t>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color w:val="4F81BD"/>
                      <w:sz w:val="22"/>
                      <w:szCs w:val="22"/>
                    </w:rPr>
                  </w:pPr>
                  <w:r>
                    <w:rPr>
                      <w:rFonts w:cs="Calibri"/>
                      <w:color w:val="4F81BD"/>
                      <w:sz w:val="22"/>
                      <w:szCs w:val="22"/>
                    </w:rPr>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rPr>
                  </w:pPr>
                  <w:r>
                    <w:rPr>
                      <w:rFonts w:cs="Calibri"/>
                      <w:i/>
                      <w:iCs/>
                      <w:color w:val="4F81BD"/>
                      <w:sz w:val="22"/>
                      <w:szCs w:val="22"/>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jc w:val="both"/>
                    <w:rPr>
                      <w:rFonts w:ascii="Times New Roman" w:hAnsi="Times New Roman" w:cs="Calibri"/>
                      <w:i/>
                      <w:i/>
                      <w:iCs/>
                      <w:color w:val="4F81BD"/>
                      <w:sz w:val="22"/>
                      <w:szCs w:val="22"/>
                    </w:rPr>
                  </w:pPr>
                  <w:r>
                    <w:rPr>
                      <w:rFonts w:cs="Calibri"/>
                      <w:i/>
                      <w:iCs/>
                      <w:color w:val="4F81BD"/>
                      <w:sz w:val="22"/>
                      <w:szCs w:val="22"/>
                    </w:rPr>
                  </w:r>
                </w:p>
              </w:tc>
            </w:tr>
          </w:tbl>
          <w:p>
            <w:pPr>
              <w:pStyle w:val="Normal"/>
              <w:widowControl w:val="false"/>
              <w:spacing w:lineRule="auto" w:line="240"/>
              <w:jc w:val="both"/>
              <w:rPr>
                <w:rFonts w:ascii="Times New Roman" w:hAnsi="Times New Roman"/>
                <w:sz w:val="22"/>
                <w:szCs w:val="22"/>
              </w:rPr>
            </w:pPr>
            <w:r>
              <w:rPr>
                <w:rFonts w:cs="Calibri"/>
                <w:bCs/>
                <w:color w:val="4F81BD"/>
                <w:sz w:val="22"/>
                <w:szCs w:val="22"/>
              </w:rPr>
              <w:t>Exemplo de quadro comparativo</w:t>
            </w:r>
          </w:p>
          <w:p>
            <w:pPr>
              <w:pStyle w:val="Normal"/>
              <w:widowControl w:val="false"/>
              <w:suppressAutoHyphens w:val="true"/>
              <w:spacing w:lineRule="auto" w:line="240" w:before="0" w:after="120"/>
              <w:ind w:left="196" w:right="-33" w:hanging="0"/>
              <w:jc w:val="both"/>
              <w:rPr>
                <w:rFonts w:ascii="Times New Roman" w:hAnsi="Times New Roman" w:cs="Calibri"/>
                <w:bCs/>
                <w:color w:val="548DD4"/>
                <w:sz w:val="22"/>
                <w:szCs w:val="22"/>
              </w:rPr>
            </w:pPr>
            <w:r>
              <w:rPr>
                <w:rFonts w:cs="Calibri"/>
                <w:bCs/>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rFonts w:cs="Calibri"/>
                <w:b/>
                <w:color w:val="FFFFFF"/>
                <w:sz w:val="22"/>
                <w:szCs w:val="22"/>
              </w:rPr>
              <w:t>IV – SOLUÇÃO ESCOLHIDA</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1. Descrição da solução escolhida (art. 18, § 1º, VII,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Descrever a solução escolhida com todos os elementos para que a contratação produza os resultados pretendidos pela administração. Trata-se da descrição da solução como um todo, inclusive das exigências relacionadas à manutenção e assistência técnica, quando for o caso. Deve-se mencionar se será uma aquisição de material ou contratação de um serviço, se será anual ou plurianual, se há necessidade de mais de uma contratação para viabilizar a solução, etc.</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2. Justificativas para o parcelamento ou não da contratação (art. 18, § 1º, VIII,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right="-33" w:hanging="0"/>
              <w:jc w:val="both"/>
              <w:rPr>
                <w:rFonts w:ascii="Times New Roman" w:hAnsi="Times New Roman"/>
                <w:sz w:val="22"/>
                <w:szCs w:val="22"/>
              </w:rPr>
            </w:pPr>
            <w:r>
              <w:rPr>
                <w:rFonts w:cs="Calibri"/>
                <w:color w:val="548DD4"/>
                <w:sz w:val="22"/>
                <w:szCs w:val="22"/>
              </w:rPr>
              <w:t>Nota: Considerando que o parcelamento da solução é a regra, a contratação deve ser realizada por item sempre que o objeto for divisível, desde que se verifique não haver prejuízo para o conjunto da solução ou a perda de economia de escala. A definição e o método para avaliar se o objeto é divisível, deve levar em consideração o mercado fornecedor, podendo ser parcelado caso a contratação nesses moldes assegure, concomitantemente: ser técnica e economicamente viável; que não haverá perda de escala e que haverá melhor aproveitamento do mercado e ampliação da competitividade.</w:t>
            </w:r>
          </w:p>
          <w:p>
            <w:pPr>
              <w:pStyle w:val="Normal"/>
              <w:widowControl w:val="false"/>
              <w:suppressAutoHyphens w:val="true"/>
              <w:bidi w:val="0"/>
              <w:spacing w:lineRule="auto" w:line="240" w:before="0" w:after="360"/>
              <w:ind w:left="170" w:right="113" w:hanging="0"/>
              <w:jc w:val="both"/>
              <w:rPr>
                <w:rFonts w:ascii="Times New Roman" w:hAnsi="Times New Roman"/>
                <w:sz w:val="22"/>
                <w:szCs w:val="22"/>
              </w:rPr>
            </w:pPr>
            <w:r>
              <w:rPr>
                <w:rFonts w:cs="Calibri"/>
                <w:color w:val="548DD4"/>
                <w:sz w:val="22"/>
                <w:szCs w:val="22"/>
              </w:rPr>
              <w:t>Em resumo, com base nos estudos no ETP, deve-se informar se a licitação será dividida em lotes ou em itens separados e justificar a decisão.</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3. Contratações correlatas e/ou interdependentes (art. 18, § 1º, XI,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val="false"/>
                <w:bCs w:val="false"/>
                <w:color w:val="548DD4"/>
                <w:sz w:val="22"/>
                <w:szCs w:val="22"/>
              </w:rPr>
              <w:t>Nota:</w:t>
            </w:r>
            <w:r>
              <w:rPr>
                <w:rFonts w:cs="Calibri"/>
                <w:b/>
                <w:color w:val="548DD4"/>
                <w:sz w:val="22"/>
                <w:szCs w:val="22"/>
              </w:rPr>
              <w:t xml:space="preserve"> </w:t>
            </w:r>
            <w:r>
              <w:rPr>
                <w:rFonts w:cs="Calibri"/>
                <w:color w:val="548DD4"/>
                <w:sz w:val="22"/>
                <w:szCs w:val="22"/>
              </w:rPr>
              <w:t>Contratações correlatas: aquela que guarda relação com a solução a ser contratada, interligando-se a ela, mas que não precisa, necessariamente, ser realizada para a completa satisfação da necessidade</w:t>
            </w:r>
          </w:p>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color w:val="548DD4"/>
                <w:sz w:val="22"/>
                <w:szCs w:val="22"/>
              </w:rPr>
              <w:t>Contratações interdependentes: aquela que precisa ser realizada com a solução a ser contratada para a completa satisfação da necessidade (Art. 18).</w:t>
            </w:r>
          </w:p>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eastAsia="Calibri" w:cs="Calibri"/>
                <w:color w:val="548DD4"/>
                <w:sz w:val="22"/>
                <w:szCs w:val="22"/>
              </w:rPr>
              <w:t xml:space="preserve"> </w:t>
            </w:r>
            <w:r>
              <w:rPr>
                <w:rFonts w:cs="Calibri"/>
                <w:color w:val="548DD4"/>
                <w:sz w:val="22"/>
                <w:szCs w:val="22"/>
              </w:rPr>
              <w:t>Descrever se há necessidade de contratações/aquisições correlatas. Realizar levantamento de ações necessárias para que a contratação surta seus efeitos, como por exemplo, capacitações, aquisições de materiais, reformas, dentre outros. Caso haja ações necessárias, juntar cronograma ao processo e incluir, no mapa de riscos, os riscos de a contratação fracassar caso as contratações correlatas ou interdependentes não ocorram em tempo hábil.</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4. Providências a serem adotadas pela Administração previamente à celebração do contrato (art. 18, § 1º, X,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Identificar as ações necessárias para que a contratação surta seus efeitos, considerando os riscos de a contratação restar prejudicada caso os ajustes não ocorram em tempo. Exemplo: necessidade de transição contratual com transferência de conhecimento, tecnologia e técnicas empregadas, necessidade de capacitação, necessidade de realocação de pessoal, etc.</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bCs/>
                <w:color w:val="FFFFFF"/>
                <w:sz w:val="22"/>
                <w:szCs w:val="22"/>
              </w:rPr>
              <w:t>5. Possíveis impactos ambientais e respectivas medidas mitigadoras (art. 18, § 1º, XII,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Descrever os possíveis impactos ambientais e respectivas medidas de tratamento ou mitigadoras buscando sanar os riscos ambientais existentes, bem como avaliar se há possibilidade de inclusão de critérios de sustentabilidade na contratação.</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66" w:hanging="0"/>
              <w:jc w:val="both"/>
              <w:rPr>
                <w:rFonts w:ascii="Times New Roman" w:hAnsi="Times New Roman"/>
                <w:sz w:val="22"/>
                <w:szCs w:val="22"/>
              </w:rPr>
            </w:pPr>
            <w:r>
              <w:rPr>
                <w:rFonts w:cs="Calibri"/>
                <w:b/>
                <w:color w:val="FFFFFF"/>
                <w:sz w:val="22"/>
                <w:szCs w:val="22"/>
              </w:rPr>
              <w:t>6. Resultados pretendidos (art. 18, § 1º, IX,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Descrever de forma mensurável e realista os benefícios diretos e indiretos que o órgão/entidade busca com a contratação da solução, avaliando economicidade, eficiência, melhor aproveitamento dos recursos humanos, materiais e financeiros disponíveis, melhoria da qualidade de produtos ou serviços, etc.</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PargrafodaLista"/>
              <w:widowControl w:val="false"/>
              <w:numPr>
                <w:ilvl w:val="0"/>
                <w:numId w:val="0"/>
              </w:numPr>
              <w:spacing w:lineRule="auto" w:line="240"/>
              <w:ind w:left="0" w:hanging="0"/>
              <w:jc w:val="both"/>
              <w:rPr>
                <w:rFonts w:ascii="Times New Roman" w:hAnsi="Times New Roman"/>
                <w:sz w:val="22"/>
                <w:szCs w:val="22"/>
              </w:rPr>
            </w:pPr>
            <w:r>
              <w:rPr>
                <w:rFonts w:cs="Calibri"/>
                <w:b/>
                <w:color w:val="FFFFFF"/>
                <w:sz w:val="22"/>
                <w:szCs w:val="22"/>
              </w:rPr>
              <w:t>7. Posicionamento conclusivo sobre a adequação da contratação para o atendimento da necessidade a que se destina (art. 18, § 1º, XIII, da Lei Federal nº 14.133, de 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ind w:left="196" w:right="-33" w:hanging="0"/>
              <w:jc w:val="both"/>
              <w:rPr>
                <w:rFonts w:ascii="Times New Roman" w:hAnsi="Times New Roman"/>
                <w:sz w:val="22"/>
                <w:szCs w:val="22"/>
              </w:rPr>
            </w:pPr>
            <w:r>
              <w:rPr>
                <w:rFonts w:cs="Calibri"/>
                <w:b/>
                <w:color w:val="548DD4"/>
                <w:sz w:val="22"/>
                <w:szCs w:val="22"/>
              </w:rPr>
              <w:t xml:space="preserve">Nota: </w:t>
            </w:r>
            <w:r>
              <w:rPr>
                <w:rFonts w:cs="Calibri"/>
                <w:color w:val="548DD4"/>
                <w:sz w:val="22"/>
                <w:szCs w:val="22"/>
              </w:rPr>
              <w:t>Realizar declaração sobre a viabilidade e a razoabilidade da solução escolhida.</w:t>
            </w:r>
          </w:p>
        </w:tc>
      </w:tr>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b/>
                <w:bCs/>
                <w:color w:val="FFFFFF"/>
                <w:sz w:val="22"/>
                <w:szCs w:val="22"/>
                <w:shd w:fill="auto" w:val="clear"/>
              </w:rPr>
              <w:t xml:space="preserve">8. </w:t>
            </w:r>
            <w:r>
              <w:rPr>
                <w:rFonts w:eastAsia="Times New Roman" w:cs="Times New Roman"/>
                <w:b/>
                <w:bCs/>
                <w:color w:val="FFFFFF"/>
                <w:kern w:val="0"/>
                <w:sz w:val="22"/>
                <w:szCs w:val="22"/>
                <w:shd w:fill="auto" w:val="clear"/>
                <w:lang w:val="pt-BR" w:eastAsia="en-US" w:bidi="ar-SA"/>
              </w:rPr>
              <w:t>Responsável</w:t>
            </w:r>
            <w:r>
              <w:rPr>
                <w:b/>
                <w:bCs/>
                <w:color w:val="FFFFFF"/>
                <w:sz w:val="22"/>
                <w:szCs w:val="22"/>
                <w:shd w:fill="auto" w:val="clear"/>
              </w:rPr>
              <w:t xml:space="preserve"> pela Confecção do ETP</w:t>
            </w:r>
          </w:p>
        </w:tc>
      </w:tr>
      <w:tr>
        <w:trPr/>
        <w:tc>
          <w:tcPr>
            <w:tcW w:w="9570"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sz w:val="22"/>
                <w:szCs w:val="22"/>
                <w:lang w:val="pt-BR" w:eastAsia="en-US" w:bidi="ar-SA"/>
              </w:rPr>
              <w:t>Nome:</w:t>
            </w:r>
          </w:p>
          <w:p>
            <w:pPr>
              <w:pStyle w:val="Normal"/>
              <w:widowControl w:val="false"/>
              <w:spacing w:lineRule="auto" w:line="240"/>
              <w:jc w:val="both"/>
              <w:rPr>
                <w:rFonts w:ascii="Times New Roman" w:hAnsi="Times New Roman"/>
                <w:sz w:val="22"/>
                <w:szCs w:val="22"/>
              </w:rPr>
            </w:pPr>
            <w:r>
              <w:rPr>
                <w:sz w:val="22"/>
                <w:szCs w:val="22"/>
                <w:lang w:val="pt-BR" w:eastAsia="en-US" w:bidi="ar-SA"/>
              </w:rPr>
              <w:t>Matrícula:</w:t>
            </w:r>
          </w:p>
          <w:p>
            <w:pPr>
              <w:pStyle w:val="Normal"/>
              <w:widowControl w:val="false"/>
              <w:spacing w:lineRule="auto" w:line="240"/>
              <w:jc w:val="both"/>
              <w:rPr>
                <w:rFonts w:ascii="Times New Roman" w:hAnsi="Times New Roman"/>
                <w:sz w:val="22"/>
                <w:szCs w:val="22"/>
              </w:rPr>
            </w:pPr>
            <w:r>
              <w:rPr>
                <w:sz w:val="22"/>
                <w:szCs w:val="22"/>
                <w:lang w:val="pt-BR" w:eastAsia="en-US" w:bidi="ar-SA"/>
              </w:rPr>
              <w:t>Função:</w:t>
            </w:r>
          </w:p>
          <w:p>
            <w:pPr>
              <w:pStyle w:val="Normal"/>
              <w:widowControl w:val="false"/>
              <w:spacing w:lineRule="auto" w:line="240"/>
              <w:jc w:val="both"/>
              <w:rPr>
                <w:rFonts w:ascii="Times New Roman" w:hAnsi="Times New Roman"/>
                <w:sz w:val="22"/>
                <w:szCs w:val="22"/>
              </w:rPr>
            </w:pPr>
            <w:r>
              <w:rPr>
                <w:sz w:val="22"/>
                <w:szCs w:val="22"/>
                <w:lang w:val="pt-BR" w:eastAsia="en-US" w:bidi="ar-SA"/>
              </w:rPr>
              <w:t>Assinatura:</w:t>
            </w:r>
          </w:p>
          <w:p>
            <w:pPr>
              <w:pStyle w:val="Normal"/>
              <w:widowControl w:val="false"/>
              <w:spacing w:lineRule="auto" w:line="240"/>
              <w:jc w:val="both"/>
              <w:rPr>
                <w:rFonts w:ascii="Times New Roman" w:hAnsi="Times New Roman"/>
                <w:sz w:val="22"/>
                <w:szCs w:val="22"/>
              </w:rPr>
            </w:pPr>
            <w:r>
              <w:rPr>
                <w:sz w:val="22"/>
                <w:szCs w:val="22"/>
                <w:lang w:val="pt-BR" w:eastAsia="en-US" w:bidi="ar-SA"/>
              </w:rPr>
              <w:t>Data:</w:t>
            </w:r>
          </w:p>
        </w:tc>
      </w:tr>
    </w:tbl>
    <w:p>
      <w:pPr>
        <w:pStyle w:val="Normal"/>
        <w:spacing w:lineRule="auto" w:line="240"/>
        <w:jc w:val="both"/>
        <w:rPr>
          <w:rFonts w:ascii="Times New Roman" w:hAnsi="Times New Roman" w:eastAsia="Arial"/>
          <w:color w:val="C00000"/>
          <w:sz w:val="22"/>
          <w:szCs w:val="22"/>
        </w:rPr>
      </w:pPr>
      <w:r>
        <w:rPr>
          <w:rFonts w:eastAsia="Arial"/>
          <w:color w:val="C00000"/>
          <w:sz w:val="22"/>
          <w:szCs w:val="22"/>
        </w:rPr>
      </w:r>
    </w:p>
    <w:p>
      <w:pPr>
        <w:pStyle w:val="PargrafodaLista"/>
        <w:spacing w:lineRule="auto" w:line="240"/>
        <w:jc w:val="both"/>
        <w:rPr>
          <w:rFonts w:ascii="Times New Roman" w:hAnsi="Times New Roman" w:eastAsia="Arial" w:cs="Calibri"/>
          <w:b/>
          <w:b/>
          <w:bCs/>
          <w:color w:val="000000"/>
          <w:sz w:val="22"/>
          <w:szCs w:val="22"/>
        </w:rPr>
      </w:pPr>
      <w:r>
        <w:rPr>
          <w:rFonts w:eastAsia="Arial" w:cs="Calibri"/>
          <w:b/>
          <w:bCs/>
          <w:color w:val="000000"/>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both"/>
        <w:rPr>
          <w:rFonts w:ascii="Times New Roman" w:hAnsi="Times New Roman" w:cs="Calibri"/>
          <w:sz w:val="22"/>
          <w:szCs w:val="22"/>
        </w:rPr>
      </w:pPr>
      <w:r>
        <w:rPr>
          <w:rFonts w:cs="Calibri"/>
          <w:sz w:val="22"/>
          <w:szCs w:val="22"/>
        </w:rPr>
      </w:r>
    </w:p>
    <w:p>
      <w:pPr>
        <w:pStyle w:val="Ttulo1"/>
        <w:spacing w:lineRule="auto" w:line="240" w:before="93" w:after="0"/>
        <w:ind w:left="851" w:hanging="0"/>
        <w:jc w:val="center"/>
        <w:rPr>
          <w:rFonts w:ascii="Times New Roman" w:hAnsi="Times New Roman"/>
          <w:sz w:val="22"/>
          <w:szCs w:val="22"/>
        </w:rPr>
      </w:pPr>
      <w:r>
        <w:rPr>
          <w:rFonts w:cs="Calibri"/>
          <w:sz w:val="22"/>
          <w:szCs w:val="22"/>
        </w:rPr>
        <w:t xml:space="preserve">ANEXO IV </w:t>
      </w:r>
    </w:p>
    <w:p>
      <w:pPr>
        <w:pStyle w:val="Ttulo1"/>
        <w:spacing w:lineRule="auto" w:line="240" w:before="93" w:after="0"/>
        <w:ind w:left="851" w:hanging="0"/>
        <w:jc w:val="center"/>
        <w:rPr>
          <w:rFonts w:ascii="Times New Roman" w:hAnsi="Times New Roman"/>
          <w:sz w:val="22"/>
          <w:szCs w:val="22"/>
        </w:rPr>
      </w:pPr>
      <w:r>
        <w:rPr>
          <w:rFonts w:cs="Calibri"/>
          <w:sz w:val="22"/>
          <w:szCs w:val="22"/>
        </w:rPr>
        <w:t xml:space="preserve"> </w:t>
      </w:r>
      <w:r>
        <w:rPr>
          <w:rFonts w:cs="Calibri"/>
          <w:sz w:val="22"/>
          <w:szCs w:val="22"/>
        </w:rPr>
        <w:t>TERMO DE REFERÊNCIA</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b/>
                <w:bCs/>
                <w:color w:val="FFFFFF"/>
                <w:sz w:val="22"/>
                <w:szCs w:val="22"/>
                <w:shd w:fill="auto" w:val="clear"/>
              </w:rPr>
              <w:t>1. Do Objeto</w:t>
            </w:r>
          </w:p>
        </w:tc>
      </w:tr>
    </w:tbl>
    <w:p>
      <w:pPr>
        <w:pStyle w:val="Nivel01"/>
        <w:numPr>
          <w:ilvl w:val="1"/>
          <w:numId w:val="5"/>
        </w:numPr>
        <w:tabs>
          <w:tab w:val="clear" w:pos="567"/>
          <w:tab w:val="left" w:pos="0" w:leader="none"/>
        </w:tabs>
        <w:spacing w:lineRule="auto" w:line="240"/>
        <w:ind w:left="0" w:hanging="0"/>
        <w:jc w:val="both"/>
        <w:rPr>
          <w:rFonts w:ascii="Times New Roman" w:hAnsi="Times New Roman"/>
          <w:sz w:val="22"/>
          <w:szCs w:val="22"/>
        </w:rPr>
      </w:pPr>
      <w:r>
        <w:rPr>
          <w:rFonts w:eastAsia="Times New Roman" w:cs="Calibri" w:ascii="Times New Roman" w:hAnsi="Times New Roman"/>
          <w:b w:val="false"/>
          <w:bCs w:val="false"/>
          <w:color w:val="548DD4"/>
          <w:kern w:val="0"/>
          <w:sz w:val="22"/>
          <w:szCs w:val="22"/>
          <w:lang w:val="pt-BR" w:eastAsia="en-US" w:bidi="ar-SA"/>
        </w:rPr>
        <w:t>Nota: realizar a descrição detalhada do objeto.</w:t>
      </w:r>
    </w:p>
    <w:p>
      <w:pPr>
        <w:pStyle w:val="Nivel2"/>
        <w:numPr>
          <w:ilvl w:val="1"/>
          <w:numId w:val="5"/>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O objeto desta contratação não se enquadra como sendo de bem de luxo, conforme Decreto Municipal nº 12.179, de 13 de junho de 2022.</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5"/>
              </w:numPr>
              <w:spacing w:lineRule="auto" w:line="240"/>
              <w:jc w:val="both"/>
              <w:rPr>
                <w:rFonts w:ascii="Times New Roman" w:hAnsi="Times New Roman"/>
                <w:sz w:val="22"/>
                <w:szCs w:val="22"/>
              </w:rPr>
            </w:pPr>
            <w:r>
              <w:rPr>
                <w:b/>
                <w:bCs/>
                <w:color w:val="FFFFFF"/>
                <w:sz w:val="22"/>
                <w:szCs w:val="22"/>
                <w:shd w:fill="auto" w:val="clear"/>
              </w:rPr>
              <w:t>Da justificativa</w:t>
            </w:r>
          </w:p>
        </w:tc>
      </w:tr>
    </w:tbl>
    <w:p>
      <w:pPr>
        <w:pStyle w:val="Default"/>
        <w:widowControl/>
        <w:numPr>
          <w:ilvl w:val="0"/>
          <w:numId w:val="0"/>
        </w:numPr>
        <w:tabs>
          <w:tab w:val="clear" w:pos="720"/>
          <w:tab w:val="left" w:pos="0" w:leader="none"/>
          <w:tab w:val="left" w:pos="851" w:leader="none"/>
        </w:tabs>
        <w:suppressAutoHyphens w:val="true"/>
        <w:bidi w:val="0"/>
        <w:spacing w:lineRule="auto" w:line="240" w:before="0" w:after="0"/>
        <w:ind w:left="-57" w:right="0" w:hanging="0"/>
        <w:jc w:val="both"/>
        <w:rPr>
          <w:rFonts w:ascii="Times New Roman" w:hAnsi="Times New Roman"/>
          <w:sz w:val="22"/>
          <w:szCs w:val="22"/>
        </w:rPr>
      </w:pPr>
      <w:bookmarkStart w:id="1" w:name="_Toc155271638"/>
      <w:r>
        <w:rPr>
          <w:rFonts w:eastAsia="Times New Roman" w:cs="Calibri"/>
          <w:b w:val="false"/>
          <w:bCs w:val="false"/>
          <w:color w:val="548DD4"/>
          <w:kern w:val="0"/>
          <w:sz w:val="22"/>
          <w:szCs w:val="22"/>
          <w:lang w:val="pt-BR" w:eastAsia="en-US" w:bidi="ar-SA"/>
        </w:rPr>
        <w:t>2</w:t>
      </w:r>
      <w:bookmarkEnd w:id="1"/>
      <w:r>
        <w:rPr>
          <w:rFonts w:eastAsia="Times New Roman" w:cs="Calibri"/>
          <w:b w:val="false"/>
          <w:bCs w:val="false"/>
          <w:color w:val="548DD4"/>
          <w:kern w:val="0"/>
          <w:sz w:val="22"/>
          <w:szCs w:val="22"/>
          <w:lang w:val="pt-BR" w:eastAsia="en-US" w:bidi="ar-SA"/>
        </w:rPr>
        <w:t>.1 Nota: descrever a justificativa da necessidade da aquisição/contratação do objeto acima para a Câmara Municipal de Santana da Vargem.</w:t>
      </w:r>
      <w:bookmarkStart w:id="2" w:name="_Toc124771803"/>
      <w:bookmarkStart w:id="3" w:name="_Toc124846868"/>
    </w:p>
    <w:p>
      <w:pPr>
        <w:pStyle w:val="Default"/>
        <w:tabs>
          <w:tab w:val="clear" w:pos="720"/>
          <w:tab w:val="left" w:pos="0" w:leader="none"/>
          <w:tab w:val="left" w:pos="851" w:leader="none"/>
        </w:tabs>
        <w:spacing w:lineRule="auto" w:line="240"/>
        <w:ind w:left="0" w:hanging="0"/>
        <w:jc w:val="both"/>
        <w:rPr>
          <w:rFonts w:ascii="Times New Roman" w:hAnsi="Times New Roman"/>
          <w:sz w:val="22"/>
          <w:szCs w:val="22"/>
        </w:rPr>
      </w:pPr>
      <w:r>
        <w:rPr>
          <w:rFonts w:eastAsia="Times New Roman" w:cs="Calibri"/>
          <w:b w:val="false"/>
          <w:bCs w:val="false"/>
          <w:color w:val="548DD4"/>
          <w:kern w:val="0"/>
          <w:sz w:val="22"/>
          <w:szCs w:val="22"/>
          <w:lang w:val="pt-BR" w:eastAsia="en-US" w:bidi="ar-SA"/>
        </w:rPr>
        <w:t>2.2. Nota: Descrever a solução para a necessidade acima.</w:t>
      </w:r>
    </w:p>
    <w:p>
      <w:pPr>
        <w:pStyle w:val="Default"/>
        <w:tabs>
          <w:tab w:val="clear" w:pos="720"/>
          <w:tab w:val="left" w:pos="851" w:leader="none"/>
        </w:tabs>
        <w:spacing w:lineRule="auto" w:line="240"/>
        <w:jc w:val="both"/>
        <w:rPr>
          <w:rFonts w:ascii="Times New Roman" w:hAnsi="Times New Roman"/>
          <w:sz w:val="22"/>
          <w:szCs w:val="22"/>
        </w:rPr>
      </w:pPr>
      <w:r>
        <w:rPr>
          <w:color w:val="auto"/>
          <w:sz w:val="22"/>
          <w:szCs w:val="22"/>
        </w:rPr>
        <w:t>2.3. Será</w:t>
      </w:r>
      <w:r>
        <w:rPr>
          <w:rFonts w:eastAsia="Times New Roman"/>
          <w:sz w:val="22"/>
          <w:szCs w:val="22"/>
        </w:rPr>
        <w:t xml:space="preserve"> realizada a contratação por meio da aquisição em lote, tendo em vista a similaridade e padronização dos serviços/produtos. A aquisição será organizada em lote que englobará os itens ou conjuntos de serviços semelhantes. Esta estratégia permitirá uma aquisição eficiente e simplificada dos serviços/produtos, otimizando a gestão e facilitando a administração contratual.</w:t>
      </w:r>
    </w:p>
    <w:p>
      <w:pPr>
        <w:pStyle w:val="Default"/>
        <w:tabs>
          <w:tab w:val="clear" w:pos="720"/>
          <w:tab w:val="left" w:pos="851" w:leader="none"/>
        </w:tabs>
        <w:spacing w:lineRule="auto" w:line="240"/>
        <w:jc w:val="both"/>
        <w:rPr>
          <w:rFonts w:ascii="Times New Roman" w:hAnsi="Times New Roman"/>
          <w:sz w:val="22"/>
          <w:szCs w:val="22"/>
        </w:rPr>
      </w:pPr>
      <w:r>
        <w:rPr>
          <w:rFonts w:eastAsia="Times New Roman" w:cs="Calibri"/>
          <w:b w:val="false"/>
          <w:bCs w:val="false"/>
          <w:color w:val="548DD4"/>
          <w:kern w:val="0"/>
          <w:sz w:val="22"/>
          <w:szCs w:val="22"/>
          <w:lang w:val="pt-BR" w:eastAsia="en-US" w:bidi="ar-SA"/>
        </w:rPr>
        <w:t>Ou</w:t>
      </w:r>
    </w:p>
    <w:p>
      <w:pPr>
        <w:pStyle w:val="Default"/>
        <w:tabs>
          <w:tab w:val="clear" w:pos="720"/>
          <w:tab w:val="left" w:pos="851" w:leader="none"/>
        </w:tabs>
        <w:spacing w:lineRule="auto" w:line="240"/>
        <w:jc w:val="both"/>
        <w:rPr>
          <w:rFonts w:ascii="Times New Roman" w:hAnsi="Times New Roman"/>
          <w:sz w:val="22"/>
          <w:szCs w:val="22"/>
        </w:rPr>
      </w:pPr>
      <w:r>
        <w:rPr>
          <w:color w:val="auto"/>
          <w:sz w:val="22"/>
          <w:szCs w:val="22"/>
        </w:rPr>
        <w:t>2.3. Será</w:t>
      </w:r>
      <w:r>
        <w:rPr>
          <w:rFonts w:eastAsia="Times New Roman"/>
          <w:sz w:val="22"/>
          <w:szCs w:val="22"/>
        </w:rPr>
        <w:t xml:space="preserve"> realizada a contratação por meio da aquisição por itens, tendo em vista a singularidade dos itens. Esta estratégia permitirá uma maior concorrência e consequentemente, a aquisição eficiente e simplificada dos serviços/produtos, otimizando a gestão e facilitando a administração contratual.</w:t>
      </w:r>
    </w:p>
    <w:p>
      <w:pPr>
        <w:pStyle w:val="Default"/>
        <w:numPr>
          <w:ilvl w:val="0"/>
          <w:numId w:val="0"/>
        </w:numPr>
        <w:tabs>
          <w:tab w:val="clear" w:pos="720"/>
          <w:tab w:val="left" w:pos="0" w:leader="none"/>
          <w:tab w:val="left" w:pos="851" w:leader="none"/>
        </w:tabs>
        <w:spacing w:lineRule="auto" w:line="240"/>
        <w:ind w:left="0" w:hanging="0"/>
        <w:jc w:val="both"/>
        <w:rPr>
          <w:rFonts w:ascii="Times New Roman" w:hAnsi="Times New Roman"/>
          <w:sz w:val="22"/>
          <w:szCs w:val="22"/>
        </w:rPr>
      </w:pPr>
      <w:r>
        <w:rPr>
          <w:rFonts w:eastAsia="Times New Roman" w:cs="Calibri"/>
          <w:b w:val="false"/>
          <w:bCs w:val="false"/>
          <w:color w:val="3465A4"/>
          <w:kern w:val="0"/>
          <w:sz w:val="22"/>
          <w:szCs w:val="22"/>
          <w:lang w:val="pt-BR" w:eastAsia="en-US" w:bidi="ar-SA"/>
        </w:rPr>
        <w:t xml:space="preserve">2.4 </w:t>
      </w:r>
      <w:r>
        <w:rPr>
          <w:rFonts w:eastAsia="Times New Roman"/>
          <w:sz w:val="22"/>
          <w:szCs w:val="22"/>
          <w:lang w:val="pt-BR" w:eastAsia="pt-BR"/>
        </w:rPr>
        <w:t>A contratação fundamenta-se no artigo _____, inciso ______ da Lei nº 14.133/2021, Decreto Municipal n.º _______, Instrução Normativa n.º _________do Controladoria Interna, e nas demais normas legais e regulamentares atinentes à matéria.</w:t>
      </w:r>
    </w:p>
    <w:p>
      <w:pPr>
        <w:pStyle w:val="Default"/>
        <w:tabs>
          <w:tab w:val="clear" w:pos="720"/>
          <w:tab w:val="left" w:pos="0" w:leader="none"/>
          <w:tab w:val="left" w:pos="851" w:leader="none"/>
        </w:tabs>
        <w:spacing w:lineRule="auto" w:line="240"/>
        <w:ind w:left="0" w:hanging="0"/>
        <w:jc w:val="both"/>
        <w:rPr>
          <w:rFonts w:ascii="Times New Roman" w:hAnsi="Times New Roman" w:eastAsia="Times New Roman"/>
          <w:sz w:val="22"/>
          <w:szCs w:val="22"/>
          <w:lang w:val="pt-BR" w:eastAsia="pt-BR"/>
        </w:rPr>
      </w:pPr>
      <w:r>
        <w:rPr>
          <w:rFonts w:eastAsia="Times New Roman"/>
          <w:sz w:val="22"/>
          <w:szCs w:val="22"/>
          <w:lang w:val="pt-BR" w:eastAsia="pt-BR"/>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5"/>
              </w:numPr>
              <w:spacing w:lineRule="auto" w:line="240"/>
              <w:jc w:val="both"/>
              <w:rPr>
                <w:rFonts w:ascii="Times New Roman" w:hAnsi="Times New Roman"/>
                <w:sz w:val="22"/>
                <w:szCs w:val="22"/>
              </w:rPr>
            </w:pPr>
            <w:r>
              <w:rPr>
                <w:b/>
                <w:bCs/>
                <w:color w:val="FFFFFF"/>
                <w:sz w:val="22"/>
                <w:szCs w:val="22"/>
                <w:shd w:fill="auto" w:val="clear"/>
              </w:rPr>
              <w:t>Da seleção do Fornecedor</w:t>
            </w:r>
          </w:p>
        </w:tc>
      </w:tr>
    </w:tbl>
    <w:p>
      <w:pPr>
        <w:pStyle w:val="Normal"/>
        <w:spacing w:lineRule="auto" w:line="240"/>
        <w:ind w:hanging="0"/>
        <w:jc w:val="both"/>
        <w:rPr>
          <w:rFonts w:ascii="Times New Roman" w:hAnsi="Times New Roman" w:eastAsia="Times New Roman"/>
          <w:sz w:val="22"/>
          <w:szCs w:val="22"/>
          <w:lang w:val="pt-BR" w:eastAsia="pt-BR"/>
        </w:rPr>
      </w:pPr>
      <w:r>
        <w:rPr>
          <w:rFonts w:eastAsia="Times New Roman"/>
          <w:sz w:val="22"/>
          <w:szCs w:val="22"/>
          <w:lang w:val="pt-BR" w:eastAsia="pt-BR"/>
        </w:rPr>
      </w:r>
    </w:p>
    <w:p>
      <w:pPr>
        <w:pStyle w:val="Default"/>
        <w:numPr>
          <w:ilvl w:val="1"/>
          <w:numId w:val="6"/>
        </w:numPr>
        <w:tabs>
          <w:tab w:val="clear" w:pos="720"/>
          <w:tab w:val="left" w:pos="0" w:leader="none"/>
        </w:tabs>
        <w:spacing w:lineRule="auto" w:line="240"/>
        <w:ind w:left="0" w:hanging="0"/>
        <w:jc w:val="both"/>
        <w:rPr>
          <w:rFonts w:ascii="Times New Roman" w:hAnsi="Times New Roman"/>
          <w:sz w:val="22"/>
          <w:szCs w:val="22"/>
        </w:rPr>
      </w:pPr>
      <w:r>
        <w:rPr>
          <w:sz w:val="22"/>
          <w:szCs w:val="22"/>
        </w:rPr>
        <w:t xml:space="preserve">O Fornecedor será selecionado por meio de realização de procedimento de CONTRATAÇÃO/AQUISIÇÃO por dispensa de licitação (art.75, inciso ______, da Lei n.º 14.133/2021) </w:t>
      </w:r>
      <w:r>
        <w:rPr>
          <w:color w:val="3465A4"/>
          <w:sz w:val="22"/>
          <w:szCs w:val="22"/>
        </w:rPr>
        <w:t>ou</w:t>
      </w:r>
      <w:r>
        <w:rPr>
          <w:sz w:val="22"/>
          <w:szCs w:val="22"/>
        </w:rPr>
        <w:t xml:space="preserve"> inexigibilidade (art.___, inciso__).</w:t>
      </w:r>
    </w:p>
    <w:p>
      <w:pPr>
        <w:pStyle w:val="Default"/>
        <w:tabs>
          <w:tab w:val="clear" w:pos="720"/>
          <w:tab w:val="left" w:pos="851" w:leader="none"/>
        </w:tabs>
        <w:spacing w:lineRule="auto" w:line="240"/>
        <w:jc w:val="both"/>
        <w:rPr>
          <w:rFonts w:ascii="Times New Roman" w:hAnsi="Times New Roman"/>
          <w:sz w:val="22"/>
          <w:szCs w:val="22"/>
        </w:rPr>
      </w:pPr>
      <w:r>
        <w:rPr>
          <w:sz w:val="22"/>
          <w:szCs w:val="22"/>
        </w:rPr>
      </w:r>
    </w:p>
    <w:p>
      <w:pPr>
        <w:pStyle w:val="ListParagraph"/>
        <w:numPr>
          <w:ilvl w:val="1"/>
          <w:numId w:val="6"/>
        </w:numPr>
        <w:tabs>
          <w:tab w:val="clear" w:pos="720"/>
          <w:tab w:val="left" w:pos="851" w:leader="none"/>
          <w:tab w:val="left" w:pos="993" w:leader="none"/>
        </w:tabs>
        <w:spacing w:lineRule="auto" w:line="240"/>
        <w:ind w:left="0" w:hanging="0"/>
        <w:jc w:val="both"/>
        <w:rPr>
          <w:rFonts w:ascii="Times New Roman" w:hAnsi="Times New Roman"/>
          <w:sz w:val="22"/>
          <w:szCs w:val="22"/>
        </w:rPr>
      </w:pPr>
      <w:r>
        <w:rPr>
          <w:sz w:val="22"/>
          <w:szCs w:val="22"/>
        </w:rPr>
        <w:t xml:space="preserve">A prestação dos serviços/Aquisição não gera vínculo empregatício entre os empregados da CONTRATADA e a Administração CONTRATANTE, vedando-se qualquer relação entre estes que caracterize pessoalidade e subordinação direta. </w:t>
      </w:r>
    </w:p>
    <w:p>
      <w:pPr>
        <w:pStyle w:val="ListParagraph"/>
        <w:spacing w:lineRule="auto" w:line="240"/>
        <w:jc w:val="both"/>
        <w:rPr>
          <w:rFonts w:ascii="Times New Roman" w:hAnsi="Times New Roman"/>
          <w:sz w:val="22"/>
          <w:szCs w:val="22"/>
        </w:rPr>
      </w:pPr>
      <w:r>
        <w:rPr>
          <w:sz w:val="22"/>
          <w:szCs w:val="22"/>
        </w:rPr>
      </w:r>
    </w:p>
    <w:p>
      <w:pPr>
        <w:pStyle w:val="ListParagraph"/>
        <w:numPr>
          <w:ilvl w:val="1"/>
          <w:numId w:val="6"/>
        </w:numPr>
        <w:tabs>
          <w:tab w:val="clear" w:pos="720"/>
          <w:tab w:val="left" w:pos="851" w:leader="none"/>
          <w:tab w:val="left" w:pos="993" w:leader="none"/>
        </w:tabs>
        <w:spacing w:lineRule="auto" w:line="240"/>
        <w:ind w:left="0" w:hanging="0"/>
        <w:jc w:val="both"/>
        <w:rPr>
          <w:rFonts w:ascii="Times New Roman" w:hAnsi="Times New Roman"/>
          <w:sz w:val="22"/>
          <w:szCs w:val="22"/>
        </w:rPr>
      </w:pPr>
      <w:r>
        <w:rPr>
          <w:sz w:val="22"/>
          <w:szCs w:val="22"/>
        </w:rPr>
        <w:t>Para fins de habilitação jurídica, fiscal, social e trabalhista, deverá ser observado os requisitos exigidos no Aviso de Dispensa de Licitação.</w:t>
      </w:r>
    </w:p>
    <w:p>
      <w:pPr>
        <w:pStyle w:val="ListParagraph"/>
        <w:spacing w:lineRule="auto" w:line="240"/>
        <w:jc w:val="both"/>
        <w:rPr>
          <w:rFonts w:ascii="Times New Roman" w:hAnsi="Times New Roman"/>
          <w:sz w:val="22"/>
          <w:szCs w:val="22"/>
          <w:highlight w:val="yellow"/>
        </w:rPr>
      </w:pPr>
      <w:r>
        <w:rPr>
          <w:sz w:val="22"/>
          <w:szCs w:val="22"/>
          <w:highlight w:val="yellow"/>
        </w:rPr>
      </w:r>
    </w:p>
    <w:p>
      <w:pPr>
        <w:pStyle w:val="ListParagraph"/>
        <w:numPr>
          <w:ilvl w:val="1"/>
          <w:numId w:val="6"/>
        </w:numPr>
        <w:tabs>
          <w:tab w:val="clear" w:pos="720"/>
          <w:tab w:val="left" w:pos="993" w:leader="none"/>
        </w:tabs>
        <w:spacing w:lineRule="auto" w:line="240"/>
        <w:ind w:left="0" w:hanging="0"/>
        <w:jc w:val="both"/>
        <w:rPr>
          <w:rFonts w:ascii="Times New Roman" w:hAnsi="Times New Roman"/>
          <w:sz w:val="22"/>
          <w:szCs w:val="22"/>
        </w:rPr>
      </w:pPr>
      <w:r>
        <w:rPr>
          <w:color w:val="3465A4"/>
          <w:sz w:val="22"/>
          <w:szCs w:val="22"/>
          <w:shd w:fill="auto" w:val="clear"/>
        </w:rPr>
        <w:t>Para a habilitação do fornecedor classificado serão exigidas, exclusivamente, as condições de habilitação exigidos, nos termos do art. 62 da Lei nº 14.133 de 2021. (deverá ser adaptado conforme peculiaridade do serviços/produtos que serão adquiridos)</w:t>
      </w:r>
    </w:p>
    <w:p>
      <w:pPr>
        <w:pStyle w:val="ListParagraph"/>
        <w:tabs>
          <w:tab w:val="clear" w:pos="720"/>
          <w:tab w:val="left" w:pos="993" w:leader="none"/>
        </w:tabs>
        <w:spacing w:lineRule="auto" w:line="240"/>
        <w:ind w:left="0" w:hanging="0"/>
        <w:jc w:val="both"/>
        <w:rPr>
          <w:rFonts w:ascii="Times New Roman" w:hAnsi="Times New Roman"/>
          <w:sz w:val="22"/>
          <w:szCs w:val="22"/>
          <w:highlight w:val="yellow"/>
        </w:rPr>
      </w:pPr>
      <w:r>
        <w:rPr>
          <w:sz w:val="22"/>
          <w:szCs w:val="22"/>
          <w:highlight w:val="yellow"/>
        </w:rPr>
      </w:r>
    </w:p>
    <w:p>
      <w:pPr>
        <w:pStyle w:val="ListParagraph"/>
        <w:numPr>
          <w:ilvl w:val="1"/>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Nos termos do art. 68 da Lei 14.133/21, as habilitações fiscal, social e trabalhista serão aferidas mediante a verificação dos seguintes requisitos: </w:t>
      </w:r>
    </w:p>
    <w:p>
      <w:pPr>
        <w:pStyle w:val="ListParagraph"/>
        <w:tabs>
          <w:tab w:val="clear" w:pos="720"/>
          <w:tab w:val="left" w:pos="993" w:leader="none"/>
        </w:tabs>
        <w:spacing w:lineRule="auto" w:line="240"/>
        <w:ind w:left="0" w:hanging="0"/>
        <w:jc w:val="both"/>
        <w:rPr>
          <w:rFonts w:ascii="Times New Roman" w:hAnsi="Times New Roman"/>
          <w:color w:val="000000"/>
          <w:sz w:val="22"/>
          <w:szCs w:val="22"/>
          <w:highlight w:val="none"/>
          <w:shd w:fill="auto" w:val="clear"/>
        </w:rPr>
      </w:pPr>
      <w:r>
        <w:rPr>
          <w:color w:val="000000"/>
          <w:sz w:val="22"/>
          <w:szCs w:val="22"/>
          <w:shd w:fill="auto" w:val="clear"/>
        </w:rPr>
      </w:r>
    </w:p>
    <w:p>
      <w:pPr>
        <w:pStyle w:val="ListParagraph"/>
        <w:numPr>
          <w:ilvl w:val="2"/>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A inscrição no Cadastro Nacional da Pessoa Jurídica (CNPJ); </w:t>
      </w:r>
    </w:p>
    <w:p>
      <w:pPr>
        <w:pStyle w:val="ListParagraph"/>
        <w:numPr>
          <w:ilvl w:val="2"/>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A regularidade perante a Fazenda federal, estadual e/ou municipal do domicílio ou sede do licitante, ou outra equivalente, na forma da lei; </w:t>
      </w:r>
    </w:p>
    <w:p>
      <w:pPr>
        <w:pStyle w:val="ListParagraph"/>
        <w:numPr>
          <w:ilvl w:val="2"/>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A regularidade relativa à Seguridade Social e ao FGTS, que demonstre cumprimento dos encargos sociais instituídos por lei; </w:t>
      </w:r>
    </w:p>
    <w:p>
      <w:pPr>
        <w:pStyle w:val="ListParagraph"/>
        <w:numPr>
          <w:ilvl w:val="2"/>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A regularidade perante a Justiça do Trabalho; </w:t>
      </w:r>
    </w:p>
    <w:p>
      <w:pPr>
        <w:pStyle w:val="ListParagraph"/>
        <w:numPr>
          <w:ilvl w:val="2"/>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O cumprimento do disposto no inciso XXXIII do art. 7º da Constituição Federal. </w:t>
      </w:r>
    </w:p>
    <w:p>
      <w:pPr>
        <w:pStyle w:val="ListParagraph"/>
        <w:numPr>
          <w:ilvl w:val="2"/>
          <w:numId w:val="6"/>
        </w:numPr>
        <w:tabs>
          <w:tab w:val="clear" w:pos="720"/>
          <w:tab w:val="left" w:pos="993" w:leader="none"/>
        </w:tabs>
        <w:spacing w:lineRule="auto" w:line="240"/>
        <w:ind w:left="0" w:hanging="0"/>
        <w:jc w:val="both"/>
        <w:rPr>
          <w:rFonts w:ascii="Times New Roman" w:hAnsi="Times New Roman"/>
          <w:sz w:val="22"/>
          <w:szCs w:val="22"/>
        </w:rPr>
      </w:pPr>
      <w:r>
        <w:rPr>
          <w:color w:val="000000"/>
          <w:sz w:val="22"/>
          <w:szCs w:val="22"/>
          <w:shd w:fill="auto" w:val="clear"/>
        </w:rPr>
        <w:t xml:space="preserve">Certidão negativa de feitos sobre falência expedida pelo distribuidor da sede do licitante. </w:t>
      </w:r>
    </w:p>
    <w:p>
      <w:pPr>
        <w:pStyle w:val="ListParagraph"/>
        <w:numPr>
          <w:ilvl w:val="2"/>
          <w:numId w:val="6"/>
        </w:numPr>
        <w:tabs>
          <w:tab w:val="clear" w:pos="720"/>
          <w:tab w:val="left" w:pos="993" w:leader="none"/>
        </w:tabs>
        <w:spacing w:lineRule="auto" w:line="240"/>
        <w:ind w:left="0" w:hanging="0"/>
        <w:jc w:val="both"/>
        <w:rPr>
          <w:rFonts w:ascii="Times New Roman" w:hAnsi="Times New Roman"/>
          <w:color w:val="3465A4"/>
          <w:sz w:val="22"/>
          <w:szCs w:val="22"/>
        </w:rPr>
      </w:pPr>
      <w:r>
        <w:rPr>
          <w:color w:val="3465A4"/>
          <w:sz w:val="22"/>
          <w:szCs w:val="22"/>
          <w:shd w:fill="auto" w:val="clear"/>
        </w:rPr>
        <w:t>Nota: acrescentar as exigências conforme peculiaridade do objeto.</w:t>
      </w:r>
    </w:p>
    <w:p>
      <w:pPr>
        <w:pStyle w:val="ListParagraph"/>
        <w:tabs>
          <w:tab w:val="clear" w:pos="720"/>
          <w:tab w:val="left" w:pos="993" w:leader="none"/>
        </w:tabs>
        <w:spacing w:lineRule="auto" w:line="240"/>
        <w:ind w:left="0" w:hanging="0"/>
        <w:jc w:val="both"/>
        <w:rPr>
          <w:rFonts w:ascii="Times New Roman" w:hAnsi="Times New Roman"/>
          <w:color w:val="000000"/>
          <w:sz w:val="22"/>
          <w:szCs w:val="22"/>
          <w:highlight w:val="none"/>
          <w:shd w:fill="auto" w:val="clear"/>
        </w:rPr>
      </w:pPr>
      <w:r>
        <w:rPr>
          <w:color w:val="000000"/>
          <w:sz w:val="22"/>
          <w:szCs w:val="22"/>
          <w:shd w:fill="auto" w:val="clear"/>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5"/>
              </w:numPr>
              <w:spacing w:lineRule="auto" w:line="240"/>
              <w:jc w:val="both"/>
              <w:rPr>
                <w:rFonts w:ascii="Times New Roman" w:hAnsi="Times New Roman"/>
                <w:sz w:val="22"/>
                <w:szCs w:val="22"/>
              </w:rPr>
            </w:pPr>
            <w:r>
              <w:rPr>
                <w:b/>
                <w:bCs/>
                <w:color w:val="FFFFFF"/>
                <w:sz w:val="22"/>
                <w:szCs w:val="22"/>
                <w:shd w:fill="auto" w:val="clear"/>
              </w:rPr>
              <w:t>Da Amostra</w:t>
            </w:r>
          </w:p>
        </w:tc>
      </w:tr>
    </w:tbl>
    <w:p>
      <w:pPr>
        <w:pStyle w:val="Ttulo1"/>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4" w:name="_Toc155271640"/>
      <w:bookmarkStart w:id="5" w:name="_Toc155271640"/>
      <w:bookmarkEnd w:id="2"/>
      <w:bookmarkEnd w:id="3"/>
      <w:bookmarkEnd w:id="5"/>
    </w:p>
    <w:p>
      <w:pPr>
        <w:pStyle w:val="Normal"/>
        <w:spacing w:lineRule="auto" w:line="240"/>
        <w:jc w:val="both"/>
        <w:rPr>
          <w:rFonts w:ascii="Times New Roman" w:hAnsi="Times New Roman"/>
          <w:sz w:val="22"/>
          <w:szCs w:val="22"/>
        </w:rPr>
      </w:pPr>
      <w:r>
        <w:rPr>
          <w:b/>
          <w:sz w:val="22"/>
          <w:szCs w:val="22"/>
        </w:rPr>
        <w:t>4.1</w:t>
      </w:r>
      <w:r>
        <w:rPr>
          <w:sz w:val="22"/>
          <w:szCs w:val="22"/>
        </w:rPr>
        <w:t xml:space="preserve"> Não será necessário envio de amostras. </w:t>
      </w:r>
      <w:r>
        <w:rPr>
          <w:color w:val="3465A4"/>
          <w:sz w:val="22"/>
          <w:szCs w:val="22"/>
        </w:rPr>
        <w:t>ou especificar conforme peculiaridade da contração/aquisição.</w:t>
      </w:r>
    </w:p>
    <w:p>
      <w:pPr>
        <w:pStyle w:val="Normal"/>
        <w:spacing w:lineRule="auto" w:line="240"/>
        <w:jc w:val="both"/>
        <w:rPr>
          <w:rFonts w:ascii="Times New Roman" w:hAnsi="Times New Roman"/>
          <w:sz w:val="22"/>
          <w:szCs w:val="22"/>
        </w:rPr>
      </w:pPr>
      <w:r>
        <w:rPr>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5"/>
              </w:numPr>
              <w:spacing w:lineRule="auto" w:line="240"/>
              <w:jc w:val="both"/>
              <w:rPr>
                <w:rFonts w:ascii="Times New Roman" w:hAnsi="Times New Roman"/>
                <w:sz w:val="22"/>
                <w:szCs w:val="22"/>
              </w:rPr>
            </w:pPr>
            <w:r>
              <w:rPr>
                <w:b/>
                <w:bCs/>
                <w:color w:val="FFFFFF"/>
                <w:sz w:val="22"/>
                <w:szCs w:val="22"/>
                <w:shd w:fill="auto" w:val="clear"/>
              </w:rPr>
              <w:t>Da Vigência</w:t>
            </w:r>
          </w:p>
        </w:tc>
      </w:tr>
    </w:tbl>
    <w:p>
      <w:pPr>
        <w:pStyle w:val="Nvel2Red"/>
        <w:numPr>
          <w:ilvl w:val="0"/>
          <w:numId w:val="0"/>
        </w:numPr>
        <w:tabs>
          <w:tab w:val="clear" w:pos="720"/>
          <w:tab w:val="left" w:pos="851" w:leader="none"/>
        </w:tabs>
        <w:spacing w:lineRule="auto" w:line="240" w:before="0" w:after="3"/>
        <w:ind w:left="0" w:hanging="0"/>
        <w:jc w:val="both"/>
        <w:rPr>
          <w:rFonts w:ascii="Times New Roman" w:hAnsi="Times New Roman"/>
          <w:sz w:val="22"/>
          <w:szCs w:val="22"/>
        </w:rPr>
      </w:pPr>
      <w:r>
        <w:rPr>
          <w:i w:val="false"/>
          <w:color w:val="auto"/>
          <w:sz w:val="22"/>
          <w:szCs w:val="22"/>
        </w:rPr>
        <w:t>5.1 O prazo de vigência da contratação é de 12 (doze) meses contados do(a) publicação do extrato no PNCP, prorrogável por até 10 anos, na forma dos artigos 106 e 107 da Lei n° 14.133, de 2021.</w:t>
      </w:r>
    </w:p>
    <w:p>
      <w:pPr>
        <w:pStyle w:val="Nvel2Red"/>
        <w:numPr>
          <w:ilvl w:val="0"/>
          <w:numId w:val="0"/>
        </w:numPr>
        <w:tabs>
          <w:tab w:val="clear" w:pos="720"/>
          <w:tab w:val="left" w:pos="851" w:leader="none"/>
        </w:tabs>
        <w:spacing w:lineRule="auto" w:line="240" w:before="0" w:after="3"/>
        <w:ind w:left="0" w:hanging="0"/>
        <w:jc w:val="both"/>
        <w:rPr>
          <w:rFonts w:ascii="Times New Roman" w:hAnsi="Times New Roman"/>
          <w:sz w:val="22"/>
          <w:szCs w:val="22"/>
        </w:rPr>
      </w:pPr>
      <w:r>
        <w:rPr>
          <w:i w:val="false"/>
          <w:color w:val="3465A4"/>
          <w:sz w:val="22"/>
          <w:szCs w:val="22"/>
        </w:rPr>
        <w:t>ou</w:t>
      </w:r>
    </w:p>
    <w:p>
      <w:pPr>
        <w:pStyle w:val="Nvel2Red"/>
        <w:numPr>
          <w:ilvl w:val="0"/>
          <w:numId w:val="0"/>
        </w:numPr>
        <w:tabs>
          <w:tab w:val="clear" w:pos="720"/>
          <w:tab w:val="left" w:pos="851" w:leader="none"/>
        </w:tabs>
        <w:spacing w:lineRule="auto" w:line="240" w:before="0" w:after="3"/>
        <w:ind w:left="0" w:hanging="0"/>
        <w:jc w:val="both"/>
        <w:rPr>
          <w:rFonts w:ascii="Times New Roman" w:hAnsi="Times New Roman"/>
          <w:sz w:val="22"/>
          <w:szCs w:val="22"/>
        </w:rPr>
      </w:pPr>
      <w:r>
        <w:rPr>
          <w:i w:val="false"/>
          <w:color w:val="auto"/>
          <w:sz w:val="22"/>
          <w:szCs w:val="22"/>
        </w:rPr>
        <w:t>5.1 O prazo de vigência da contratação é de 12 (doze) meses contados do(a) publicação do extrato no PNCP, prorrogável por até 5 anos, na forma dos artigos 106 e 107 da Lei n° 14.133, de 2021</w:t>
      </w:r>
    </w:p>
    <w:p>
      <w:pPr>
        <w:pStyle w:val="Nvel2Red"/>
        <w:numPr>
          <w:ilvl w:val="0"/>
          <w:numId w:val="0"/>
        </w:numPr>
        <w:tabs>
          <w:tab w:val="clear" w:pos="720"/>
          <w:tab w:val="left" w:pos="851" w:leader="none"/>
        </w:tabs>
        <w:spacing w:lineRule="auto" w:line="240" w:before="0" w:after="3"/>
        <w:ind w:left="0" w:hanging="0"/>
        <w:jc w:val="both"/>
        <w:rPr>
          <w:rFonts w:ascii="Times New Roman" w:hAnsi="Times New Roman"/>
          <w:sz w:val="22"/>
          <w:szCs w:val="22"/>
        </w:rPr>
      </w:pPr>
      <w:r>
        <w:rPr>
          <w:i w:val="false"/>
          <w:color w:val="auto"/>
          <w:sz w:val="22"/>
          <w:szCs w:val="22"/>
        </w:rPr>
        <w:t xml:space="preserve"> </w:t>
      </w:r>
      <w:r>
        <w:rPr>
          <w:i w:val="false"/>
          <w:color w:val="3465A4"/>
          <w:sz w:val="22"/>
          <w:szCs w:val="22"/>
        </w:rPr>
        <w:t>ou</w:t>
      </w:r>
    </w:p>
    <w:p>
      <w:pPr>
        <w:pStyle w:val="Nvel2Red"/>
        <w:numPr>
          <w:ilvl w:val="0"/>
          <w:numId w:val="0"/>
        </w:numPr>
        <w:tabs>
          <w:tab w:val="clear" w:pos="720"/>
          <w:tab w:val="left" w:pos="851" w:leader="none"/>
        </w:tabs>
        <w:spacing w:lineRule="auto" w:line="240" w:before="0" w:after="3"/>
        <w:ind w:left="0" w:hanging="0"/>
        <w:jc w:val="both"/>
        <w:rPr>
          <w:rFonts w:ascii="Times New Roman" w:hAnsi="Times New Roman"/>
          <w:sz w:val="22"/>
          <w:szCs w:val="22"/>
        </w:rPr>
      </w:pPr>
      <w:r>
        <w:rPr>
          <w:i w:val="false"/>
          <w:color w:val="auto"/>
          <w:sz w:val="22"/>
          <w:szCs w:val="22"/>
        </w:rPr>
        <w:t>5.1 O prazo de vigência da contratação é de 12 (doze) meses contados do(a) publicação do extrato no PNCP.</w:t>
      </w:r>
    </w:p>
    <w:p>
      <w:pPr>
        <w:pStyle w:val="Nivel2"/>
        <w:numPr>
          <w:ilvl w:val="0"/>
          <w:numId w:val="0"/>
        </w:numPr>
        <w:tabs>
          <w:tab w:val="clear" w:pos="720"/>
          <w:tab w:val="left" w:pos="851" w:leader="none"/>
        </w:tabs>
        <w:spacing w:lineRule="auto" w:line="240" w:before="0" w:after="3"/>
        <w:ind w:left="0" w:hanging="0"/>
        <w:jc w:val="both"/>
        <w:rPr>
          <w:rFonts w:ascii="Times New Roman" w:hAnsi="Times New Roman"/>
          <w:sz w:val="22"/>
          <w:szCs w:val="22"/>
        </w:rPr>
      </w:pPr>
      <w:r>
        <w:rPr>
          <w:color w:val="auto"/>
          <w:sz w:val="22"/>
          <w:szCs w:val="22"/>
        </w:rPr>
        <w:t>5.2 O contrato oferece maior detalhamento das regras que serão aplicadas em relação à vigência da contratação.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6 Da Gestão do Contrato</w:t>
            </w:r>
          </w:p>
        </w:tc>
      </w:tr>
    </w:tbl>
    <w:p>
      <w:pPr>
        <w:pStyle w:val="Nivel2"/>
        <w:numPr>
          <w:ilvl w:val="0"/>
          <w:numId w:val="0"/>
        </w:numPr>
        <w:tabs>
          <w:tab w:val="clear" w:pos="720"/>
          <w:tab w:val="left" w:pos="851" w:leader="none"/>
        </w:tabs>
        <w:spacing w:lineRule="auto" w:line="240" w:before="60" w:after="60"/>
        <w:ind w:left="0" w:hanging="0"/>
        <w:jc w:val="both"/>
        <w:rPr>
          <w:rFonts w:ascii="Times New Roman" w:hAnsi="Times New Roman"/>
          <w:sz w:val="22"/>
          <w:szCs w:val="22"/>
        </w:rPr>
      </w:pPr>
      <w:bookmarkStart w:id="6" w:name="_Toc124771806"/>
      <w:bookmarkStart w:id="7" w:name="_Toc124846871"/>
      <w:bookmarkStart w:id="8" w:name="_Toc155271642"/>
      <w:r>
        <w:rPr>
          <w:sz w:val="22"/>
          <w:szCs w:val="22"/>
        </w:rPr>
        <w:t>6</w:t>
      </w:r>
      <w:bookmarkEnd w:id="6"/>
      <w:bookmarkEnd w:id="7"/>
      <w:bookmarkEnd w:id="8"/>
      <w:r>
        <w:rPr>
          <w:sz w:val="22"/>
          <w:szCs w:val="22"/>
        </w:rPr>
        <w:t>.1 O contrato deverá ser executado fielmente pelas partes, de acordo com as cláusulas avençadas e as normas da Lei nº 14.133, de 2021, e cada parte responderá pelas consequências de sua inexecução total ou parcial.</w:t>
      </w:r>
    </w:p>
    <w:p>
      <w:pPr>
        <w:pStyle w:val="Nivel2"/>
        <w:numPr>
          <w:ilvl w:val="0"/>
          <w:numId w:val="0"/>
        </w:numPr>
        <w:tabs>
          <w:tab w:val="clear" w:pos="720"/>
          <w:tab w:val="left" w:pos="851" w:leader="none"/>
        </w:tabs>
        <w:spacing w:lineRule="auto" w:line="240" w:before="60" w:after="60"/>
        <w:ind w:left="0" w:hanging="0"/>
        <w:jc w:val="both"/>
        <w:rPr>
          <w:rFonts w:ascii="Times New Roman" w:hAnsi="Times New Roman"/>
          <w:sz w:val="22"/>
          <w:szCs w:val="22"/>
        </w:rPr>
      </w:pPr>
      <w:r>
        <w:rPr>
          <w:sz w:val="22"/>
          <w:szCs w:val="22"/>
        </w:rPr>
        <w:t>6.2 Em caso de impedimento, ordem de paralisação ou suspensão do contrato, o cronograma de execução será prorrogado automaticamente pelo tempo correspondente, anotadas tais circunstâncias mediante simples apostila.</w:t>
      </w:r>
    </w:p>
    <w:p>
      <w:pPr>
        <w:pStyle w:val="Nivel2"/>
        <w:widowControl/>
        <w:numPr>
          <w:ilvl w:val="0"/>
          <w:numId w:val="0"/>
        </w:numPr>
        <w:tabs>
          <w:tab w:val="clear" w:pos="720"/>
          <w:tab w:val="left" w:pos="851" w:leader="none"/>
        </w:tabs>
        <w:suppressAutoHyphens w:val="true"/>
        <w:bidi w:val="0"/>
        <w:spacing w:lineRule="auto" w:line="240" w:before="117" w:after="117"/>
        <w:ind w:left="-57" w:right="0" w:hanging="0"/>
        <w:jc w:val="both"/>
        <w:rPr>
          <w:rFonts w:ascii="Times New Roman" w:hAnsi="Times New Roman"/>
          <w:sz w:val="22"/>
          <w:szCs w:val="22"/>
        </w:rPr>
      </w:pPr>
      <w:r>
        <w:rPr>
          <w:sz w:val="22"/>
          <w:szCs w:val="22"/>
        </w:rPr>
        <w:t xml:space="preserve">6.3 As As comunicações serão feitas exclusivamente por meios eletrônicos (e-mail e/ou WhatsApp) e serão consideradas válidas após </w:t>
      </w:r>
      <w:r>
        <w:rPr>
          <w:b/>
          <w:sz w:val="22"/>
          <w:szCs w:val="22"/>
        </w:rPr>
        <w:t>02 (dois) dias úteis</w:t>
      </w:r>
      <w:r>
        <w:rPr>
          <w:sz w:val="22"/>
          <w:szCs w:val="22"/>
        </w:rPr>
        <w:t xml:space="preserve"> do seu envio, mesmo sem a confirmação de </w:t>
      </w:r>
      <w:bookmarkStart w:id="9" w:name="_GoBack"/>
      <w:r>
        <w:rPr>
          <w:sz w:val="22"/>
          <w:szCs w:val="22"/>
        </w:rPr>
        <w:t>leitura. </w:t>
      </w:r>
      <w:bookmarkEnd w:id="9"/>
    </w:p>
    <w:p>
      <w:pPr>
        <w:pStyle w:val="Nivel2"/>
        <w:numPr>
          <w:ilvl w:val="0"/>
          <w:numId w:val="0"/>
        </w:numPr>
        <w:tabs>
          <w:tab w:val="clear" w:pos="720"/>
          <w:tab w:val="left" w:pos="851" w:leader="none"/>
        </w:tabs>
        <w:spacing w:lineRule="auto" w:line="240" w:before="288" w:after="288"/>
        <w:ind w:left="0" w:hanging="0"/>
        <w:jc w:val="both"/>
        <w:rPr>
          <w:rFonts w:ascii="Times New Roman" w:hAnsi="Times New Roman"/>
          <w:sz w:val="22"/>
          <w:szCs w:val="22"/>
        </w:rPr>
      </w:pPr>
      <w:r>
        <w:rPr>
          <w:sz w:val="22"/>
          <w:szCs w:val="22"/>
        </w:rPr>
        <w:t>6.4 A Câmara Municipal de Santana da Vargem, poderá convocar representante da empresa para adoção de providências que devam ser cumpridas de imediato.</w:t>
      </w:r>
    </w:p>
    <w:p>
      <w:pPr>
        <w:pStyle w:val="Nvel2Red"/>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auto"/>
          <w:sz w:val="22"/>
          <w:szCs w:val="22"/>
        </w:rPr>
        <w:t>6.5  Após a assinatura do contrato ou instrument equivalent, a Camara Municipal de Santana da Vargem,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6.6 A execução do contrato deverá ser acompanhada e fiscalizada pelo(s) fiscal(is) do contrato, ou pelos respectivos substitutos (</w:t>
      </w:r>
      <w:r>
        <w:fldChar w:fldCharType="begin"/>
      </w:r>
      <w:r>
        <w:rPr>
          <w:rStyle w:val="LinkdaInternet"/>
          <w:sz w:val="22"/>
          <w:szCs w:val="22"/>
          <w:color w:val="auto"/>
        </w:rPr>
        <w:instrText xml:space="preserve"> HYPERLINK "http://www.planalto.gov.br/ccivil_03/_ato2019-2022/2021/lei/L14133.htm" \l "art117"</w:instrText>
      </w:r>
      <w:r>
        <w:rPr>
          <w:rStyle w:val="LinkdaInternet"/>
          <w:sz w:val="22"/>
          <w:szCs w:val="22"/>
          <w:color w:val="auto"/>
        </w:rPr>
        <w:fldChar w:fldCharType="separate"/>
      </w:r>
      <w:r>
        <w:rPr>
          <w:rStyle w:val="LinkdaInternet"/>
          <w:color w:val="auto"/>
          <w:sz w:val="22"/>
          <w:szCs w:val="22"/>
        </w:rPr>
        <w:t>Lei nº 14.133, de 2021, art. 117, caput</w:t>
      </w:r>
      <w:r>
        <w:rPr>
          <w:rStyle w:val="LinkdaInternet"/>
          <w:sz w:val="22"/>
          <w:szCs w:val="22"/>
          <w:color w:val="auto"/>
        </w:rPr>
        <w:fldChar w:fldCharType="end"/>
      </w:r>
      <w:r>
        <w:rPr>
          <w:color w:val="auto"/>
          <w:sz w:val="22"/>
          <w:szCs w:val="22"/>
        </w:rPr>
        <w:t>).</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6.7 O fiscal técnico do contrato acompanhará a execução do contrato, para que sejam cumpridas todas as condições estabelecidas no contrato, de modo a assegurar os melhores resultados para a Administração. (Decreto nº 11.246, de 2022, art. 22, VI);</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6.8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rPr>
        <w:instrText xml:space="preserve"> HYPERLINK "http://www.planalto.gov.br/ccivil_03/_ato2019-2022/2021/lei/L14133.htm" \l "art117§1"</w:instrText>
      </w:r>
      <w:r>
        <w:rPr>
          <w:rStyle w:val="LinkdaInternet"/>
          <w:sz w:val="22"/>
          <w:szCs w:val="22"/>
        </w:rPr>
        <w:fldChar w:fldCharType="separate"/>
      </w:r>
      <w:r>
        <w:rPr>
          <w:rStyle w:val="LinkdaInternet"/>
          <w:sz w:val="22"/>
          <w:szCs w:val="22"/>
        </w:rPr>
        <w:t>Lei nº 14.133, de 2021, art. 117, §1º</w:t>
      </w:r>
      <w:r>
        <w:rPr>
          <w:rStyle w:val="LinkdaInternet"/>
          <w:sz w:val="22"/>
          <w:szCs w:val="22"/>
        </w:rPr>
        <w:fldChar w:fldCharType="end"/>
      </w:r>
      <w:r>
        <w:rPr>
          <w:rStyle w:val="LinkdaInternet"/>
          <w:sz w:val="22"/>
          <w:szCs w:val="22"/>
        </w:rPr>
        <w:t>;</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 xml:space="preserve">6.9 Identificada qualquer inexatidão ou irregularidade, o fiscal técnico do contrato emitirá notificações para a correção da execução do contrato, determinando prazo para a correção. </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6.10 O fiscal técnico do contrato informará ao gestor do contato, em tempo hábil, a situação que demandar decisão ou adoção de medidas que ultrapassem sua competência, para que adote as medidas necessárias e saneadoras, se for o caso.</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 xml:space="preserve">6.11 No caso de ocorrências que possam inviabilizar a execução do contrato nas datas aprazadas, o fiscal técnico do contrato comunicará o fato imediatamente ao gestor do contrato. </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6.12 O fiscal técnico do contrato comunicar ao gestor do contrato, em tempo hábil, o término do contrato sob sua responsabilidade, com vistas à renovação tempestiva ou à prorrogação contratual.</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6.13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 xml:space="preserve">6.14 Caso ocorram descumprimento das obrigações contratuais, o fiscal administrativo do contrato atuará tempestivamente na solução do problema, reportando ao gestor do contrato para que tome as providências cabíveis, quando ultrapassar a sua competência; </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6.15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 xml:space="preserve">6.16 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 xml:space="preserve">6.17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pPr>
        <w:pStyle w:val="Nivel3"/>
        <w:numPr>
          <w:ilvl w:val="0"/>
          <w:numId w:val="0"/>
        </w:numPr>
        <w:tabs>
          <w:tab w:val="clear" w:pos="720"/>
          <w:tab w:val="left" w:pos="851" w:leader="none"/>
        </w:tabs>
        <w:spacing w:lineRule="auto" w:line="240" w:before="120" w:after="288"/>
        <w:ind w:left="0" w:hanging="0"/>
        <w:jc w:val="both"/>
        <w:rPr/>
      </w:pPr>
      <w:r>
        <w:rPr>
          <w:sz w:val="22"/>
          <w:szCs w:val="22"/>
        </w:rPr>
        <w:t xml:space="preserve">6.18 O gestor do contrato tomará providências para a formalização de processo administrativo de responsabilização para fins de aplicação de sanções, a ser conduzido pela comissão de que trata o art. 158 da Lei nº 14.133, de 2021, ou pelo setor com competência para tal, conforme o caso. </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6.19 O fiscal administrativo do contrato comunicará ao gestor do contrato, em tempo hábil, o término do contrato sob sua responsabilidade, com vistas à tempestiva renovação ou prorrogação contratual. </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6.20 O gestor do contrato deverá elaborará relatório final com informações sobre a consecução dos objetivos que tenham justificado a contratação e eventuais condutas a serem adotadas para o aprimoramento das atividades da Administração. </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6.21 De modo a resguardar a efetiva execução do objeto e, consequentemente, suprir a necessidade apresentada perante o presente procedimento de contratação, têm-se nomeados os seguintes servidores para gestão e fiscalização do contrato: </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rFonts w:eastAsia="" w:eastAsiaTheme="minorEastAsia"/>
          <w:b/>
          <w:color w:val="3465A4"/>
          <w:sz w:val="22"/>
          <w:szCs w:val="22"/>
          <w:shd w:fill="auto" w:val="clear"/>
        </w:rPr>
        <w:t>Gestor: XXXXXXX</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rFonts w:eastAsia="" w:eastAsiaTheme="minorEastAsia"/>
          <w:b/>
          <w:color w:val="3465A4"/>
          <w:sz w:val="22"/>
          <w:szCs w:val="22"/>
          <w:shd w:fill="auto" w:val="clear"/>
        </w:rPr>
        <w:t>Fiscal técnico</w:t>
      </w:r>
      <w:r>
        <w:rPr>
          <w:rFonts w:eastAsia="" w:eastAsiaTheme="minorEastAsia"/>
          <w:color w:val="3465A4"/>
          <w:sz w:val="22"/>
          <w:szCs w:val="22"/>
          <w:shd w:fill="auto" w:val="clear"/>
        </w:rPr>
        <w:t>: XXXXXXX</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6.22 Ainda, tem-se que, os servidores nomeados aos cargos de gestão e fiscalização da presente contratação possuem nítido conhecimento na área, de modo que se tornam capazes de aferir a qualidade do produto/serviço a ser prestado.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7 Da Entrega e Garantia</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10" w:name="_Toc155271643"/>
      <w:bookmarkStart w:id="11" w:name="_Toc155271643"/>
      <w:bookmarkEnd w:id="11"/>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 xml:space="preserve">7.1 </w:t>
      </w:r>
      <w:bookmarkStart w:id="12" w:name="_Toc155271644"/>
      <w:r>
        <w:rPr>
          <w:sz w:val="22"/>
          <w:szCs w:val="22"/>
          <w:lang w:val="pt-BR"/>
        </w:rPr>
        <w:t xml:space="preserve">Pela natureza da presente contratação, tem-se que a execução do objeto se dará de forma parcelada </w:t>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rPr>
        <w:t>ou</w:t>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 xml:space="preserve">7.1 </w:t>
      </w:r>
      <w:r>
        <w:rPr>
          <w:sz w:val="22"/>
          <w:szCs w:val="22"/>
          <w:lang w:val="pt-BR"/>
        </w:rPr>
        <w:t>Pela natureza da presente contratação, tem-se que a execução do objeto se dará de forma integral</w:t>
      </w:r>
    </w:p>
    <w:p>
      <w:pPr>
        <w:pStyle w:val="Normal"/>
        <w:keepLines/>
        <w:tabs>
          <w:tab w:val="clear" w:pos="720"/>
          <w:tab w:val="left" w:pos="0" w:leader="none"/>
          <w:tab w:val="left" w:pos="851" w:leader="none"/>
        </w:tabs>
        <w:spacing w:lineRule="auto" w:line="24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7.2 A CONTRATADA terá o prazo de até _</w:t>
      </w:r>
      <w:r>
        <w:rPr>
          <w:sz w:val="22"/>
          <w:szCs w:val="22"/>
          <w:shd w:fill="auto" w:val="clear"/>
          <w:lang w:val="pt-BR"/>
        </w:rPr>
        <w:t>__</w:t>
      </w:r>
      <w:r>
        <w:rPr>
          <w:b/>
          <w:sz w:val="22"/>
          <w:szCs w:val="22"/>
          <w:shd w:fill="auto" w:val="clear"/>
          <w:lang w:val="pt-BR"/>
        </w:rPr>
        <w:t xml:space="preserve"> (_______) dias</w:t>
      </w:r>
      <w:r>
        <w:rPr>
          <w:sz w:val="22"/>
          <w:szCs w:val="22"/>
          <w:lang w:val="pt-BR"/>
        </w:rPr>
        <w:t xml:space="preserve"> corridos a contar do recebimento da Ordem de Fornecimento, emitida pela Seção de Compras da Câmara Municipal de Santana da Vargem para entrega do objeto, de segunda a sexta-feira, no horário das 07:00 horas às 11:300 horas ou das 12:30 horas às 16:00 horas, por conta e risco da empresa; inclusive a descarga. </w:t>
      </w:r>
    </w:p>
    <w:p>
      <w:pPr>
        <w:pStyle w:val="ListParagraph"/>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ou</w:t>
      </w:r>
    </w:p>
    <w:p>
      <w:pPr>
        <w:pStyle w:val="ListParagraph"/>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7.2 Nota: Adaptar conforme peculiaridade do objeto.</w:t>
      </w:r>
    </w:p>
    <w:p>
      <w:pPr>
        <w:pStyle w:val="ListParagraph"/>
        <w:spacing w:lineRule="auto" w:line="24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7</w:t>
      </w:r>
      <w:r>
        <w:rPr>
          <w:rFonts w:eastAsia="Times New Roman" w:cs="Times New Roman"/>
          <w:color w:val="auto"/>
          <w:kern w:val="0"/>
          <w:sz w:val="22"/>
          <w:szCs w:val="22"/>
          <w:lang w:val="pt-BR" w:eastAsia="en-US" w:bidi="ar-SA"/>
        </w:rPr>
        <w:t xml:space="preserve">.3 Ao receber o e-mail e/ou WhatsApp, com a Ordem de Fornecimento, a licitante deverá responder acusando o recebimento. </w:t>
      </w:r>
      <w:r>
        <w:rPr>
          <w:rFonts w:eastAsia="Times New Roman" w:cs="Times New Roman"/>
          <w:b/>
          <w:color w:val="auto"/>
          <w:kern w:val="0"/>
          <w:sz w:val="22"/>
          <w:szCs w:val="22"/>
          <w:lang w:val="pt-BR" w:eastAsia="en-US" w:bidi="ar-SA"/>
        </w:rPr>
        <w:t>A licitante vencedora tem até 2 (dois) dias úteis para acusar o recebimento. Após este prazo, será admitido como recebido</w:t>
      </w:r>
      <w:r>
        <w:rPr>
          <w:rFonts w:eastAsia="Times New Roman" w:cs="Times New Roman"/>
          <w:color w:val="auto"/>
          <w:kern w:val="0"/>
          <w:sz w:val="22"/>
          <w:szCs w:val="22"/>
          <w:lang w:val="pt-BR" w:eastAsia="en-US" w:bidi="ar-SA"/>
        </w:rPr>
        <w:t xml:space="preserve">. </w:t>
      </w:r>
    </w:p>
    <w:p>
      <w:pPr>
        <w:pStyle w:val="ListParagraph"/>
        <w:spacing w:lineRule="auto" w:line="240"/>
        <w:jc w:val="both"/>
        <w:rPr>
          <w:rFonts w:ascii="Times New Roman" w:hAnsi="Times New Roman"/>
          <w:sz w:val="22"/>
          <w:szCs w:val="22"/>
          <w:highlight w:val="none"/>
          <w:shd w:fill="auto" w:val="clear"/>
          <w:lang w:val="pt-BR"/>
        </w:rPr>
      </w:pPr>
      <w:r>
        <w:rPr>
          <w:sz w:val="22"/>
          <w:szCs w:val="22"/>
          <w:shd w:fill="auto" w:val="clear"/>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shd w:fill="auto" w:val="clear"/>
          <w:lang w:val="pt-BR"/>
        </w:rPr>
        <w:t>7.4 O objeto deverá ser entregue na Praça Prefeito Hernani Pereira Scatolino, nº 50, Centro, Santana da Vargem/MG.</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7.5 As entregas ou execuções que forem feitas fora do prazo mencionado acima, só serão serão aceitas, desde que seja apresentado o devido pedido de prorrogação de entrega, que será analisado por esta Câmara Municipal, para ulterior confirmação ou então sobre a impossibilidade de estender o prazo, sem prejuízo, neste último caso, da aplicação das sanções cabíveis; ficando a Câmara Municipal isenta de qualquer responsabilidade.</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7.6 As entregas que, porventura, não possam ser realizadas dentro do horário normal de expediente da Autarquia deverão ser programadas para outro horário, mediante prévia anuência da fiscalização da Câmara Municipal de Santana da Vargem, sem nenhum ônus adicional para a Administração Pública</w:t>
      </w:r>
    </w:p>
    <w:p>
      <w:pPr>
        <w:pStyle w:val="ListParagraph"/>
        <w:keepLines/>
        <w:tabs>
          <w:tab w:val="clear" w:pos="720"/>
          <w:tab w:val="left" w:pos="0" w:leader="none"/>
          <w:tab w:val="left" w:pos="851" w:leader="none"/>
        </w:tabs>
        <w:spacing w:lineRule="auto" w:line="240"/>
        <w:ind w:left="0" w:hanging="0"/>
        <w:jc w:val="both"/>
        <w:rPr>
          <w:lang w:val="pt-BR"/>
        </w:rPr>
      </w:pPr>
      <w:r>
        <w:rPr>
          <w:lang w:val="pt-BR"/>
        </w:rPr>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color w:val="3465A4"/>
          <w:sz w:val="22"/>
          <w:szCs w:val="22"/>
          <w:lang w:val="pt-BR"/>
        </w:rPr>
        <w:t>Nota: aplicável apenas para aquisições</w:t>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 xml:space="preserve">7.7 Tratando-se de aquisição, os produtos deverão assegurar informações corretas, claras, precisas, ostensivas e em Língua Portuguesa sobre suas características, qualidades, quantidade, composição, prazos de validade e origem, entre outros dados, bem como sobre os riscos que apresentam à saúde e segurança dos consumidores. </w:t>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 xml:space="preserve">7.7. 1 Os produtos que por sua natureza e fruição ofereçam risco à saúde ou segurança deverão ser apresentados em embalagens seguras, nos termos exigidos pelo INMETRO, contendo todas as informações necessárias a seu respeito, de maneira ostensiva e adequada. </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rPr>
      </w:pPr>
      <w:r>
        <w:rPr>
          <w:color w:val="3465A4"/>
          <w:sz w:val="22"/>
          <w:szCs w:val="22"/>
          <w:lang w:val="pt-BR"/>
        </w:rPr>
        <w:t xml:space="preserve">7.7.2 Todos os materiais devem ser entregues acondicionados em caixas ou recipientes aptos a serem armazenados e em suas embalagens originais do fabricante. </w:t>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7.7.3.Não serão aceitos produtos deteriorados, alterados, adulterados, avariados ou em desacordo com as normas regulamentares de fabricação, distribuição ou apresentação.</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color w:val="3465A4"/>
          <w:sz w:val="22"/>
          <w:szCs w:val="22"/>
          <w:lang w:val="pt-BR"/>
        </w:rPr>
      </w:pPr>
      <w:r>
        <w:rPr>
          <w:color w:val="3465A4"/>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 xml:space="preserve">7.8 No ato da entrega será procedida a avaliação da qualidade dos produtos /Serviços licitados com relação à descrição, características, embalagem e rotulagem especificadas no objeto do Edital. </w:t>
      </w:r>
    </w:p>
    <w:p>
      <w:pPr>
        <w:pStyle w:val="ListParagraph"/>
        <w:tabs>
          <w:tab w:val="clear" w:pos="720"/>
          <w:tab w:val="left" w:pos="0" w:leader="none"/>
          <w:tab w:val="left" w:pos="851" w:leader="none"/>
        </w:tabs>
        <w:spacing w:lineRule="auto" w:line="240"/>
        <w:jc w:val="both"/>
        <w:rPr>
          <w:rFonts w:ascii="Times New Roman" w:hAnsi="Times New Roman"/>
          <w:color w:val="3465A4"/>
          <w:sz w:val="22"/>
          <w:szCs w:val="22"/>
          <w:lang w:val="pt-BR"/>
        </w:rPr>
      </w:pPr>
      <w:r>
        <w:rPr>
          <w:color w:val="3465A4"/>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 xml:space="preserve">7.9 Garantia mínima do objeto, não poderá ser inferior </w:t>
      </w:r>
      <w:r>
        <w:rPr>
          <w:color w:val="3465A4"/>
          <w:sz w:val="22"/>
          <w:szCs w:val="22"/>
          <w:shd w:fill="auto" w:val="clear"/>
          <w:lang w:val="pt-BR"/>
        </w:rPr>
        <w:t xml:space="preserve">a </w:t>
      </w:r>
      <w:r>
        <w:rPr>
          <w:b/>
          <w:color w:val="3465A4"/>
          <w:sz w:val="22"/>
          <w:szCs w:val="22"/>
          <w:shd w:fill="auto" w:val="clear"/>
          <w:lang w:val="pt-BR"/>
        </w:rPr>
        <w:t>12 (doze) meses.</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rPr>
      </w:pPr>
      <w:r>
        <w:rPr>
          <w:color w:val="3465A4"/>
          <w:sz w:val="22"/>
          <w:szCs w:val="22"/>
          <w:lang w:val="pt-BR"/>
        </w:rPr>
        <w:t xml:space="preserve">Ou </w:t>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shd w:fill="auto" w:val="clear"/>
          <w:lang w:val="pt-BR"/>
        </w:rPr>
        <w:t xml:space="preserve">7.9 A CONTRATADA deverá fornecer garantia e assistência técnica do objeto, sem limite de quilometragem, pelo período mínimo de </w:t>
      </w:r>
      <w:r>
        <w:rPr>
          <w:b/>
          <w:color w:val="3465A4"/>
          <w:sz w:val="22"/>
          <w:szCs w:val="22"/>
          <w:shd w:fill="auto" w:val="clear"/>
          <w:lang w:val="pt-BR"/>
        </w:rPr>
        <w:t>12 (doze) meses,</w:t>
      </w:r>
      <w:r>
        <w:rPr>
          <w:color w:val="3465A4"/>
          <w:sz w:val="22"/>
          <w:szCs w:val="22"/>
          <w:shd w:fill="auto" w:val="clear"/>
          <w:lang w:val="pt-BR"/>
        </w:rPr>
        <w:t xml:space="preserve"> através de rede autorizada do fabricante, a partir do fornecimento definitivo do objeto, sem prejuízo de qualquer política de garantia adicional oferecido pelo fabricante.</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 xml:space="preserve">7.10 A garantia abrange qualquer conserto/substituição de peças e/ou equipamentos que apresentem desgaste prematuro e/ou defeitos de fabricação, bem como a mão de obra necessária para sua execução, sem acarretar ônus para o CONTRATANTE, no prazo máximo de </w:t>
      </w:r>
      <w:r>
        <w:rPr>
          <w:b/>
          <w:color w:val="3465A4"/>
          <w:sz w:val="22"/>
          <w:szCs w:val="22"/>
          <w:shd w:fill="auto" w:val="clear"/>
          <w:lang w:val="pt-BR"/>
        </w:rPr>
        <w:t>07(sete) dias</w:t>
      </w:r>
      <w:r>
        <w:rPr>
          <w:b/>
          <w:sz w:val="22"/>
          <w:szCs w:val="22"/>
          <w:lang w:val="pt-BR"/>
        </w:rPr>
        <w:t>,</w:t>
      </w:r>
      <w:r>
        <w:rPr>
          <w:sz w:val="22"/>
          <w:szCs w:val="22"/>
          <w:lang w:val="pt-BR"/>
        </w:rPr>
        <w:t xml:space="preserve"> contados a partir da solicitação feita pela Câmara Municipal de Santana da Vargem/MG, exceto se a ocorrência do dano se der por dolo, imperícia ou mau uso por parte dos servidores da CONTRATANTE. Em suma, todas as garantias serão asseguradas conforme preconizado no código do consumidor (Art. 24 da Lei nº 8078/1990), no manual do fabricante e demais normas vigentes que regem o tema.</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color w:val="3465A4"/>
          <w:sz w:val="22"/>
          <w:szCs w:val="22"/>
          <w:lang w:val="pt-BR"/>
        </w:rPr>
        <w:t>7.11 No prazo máximo mencionado no subitem acima, a CONTRATADA ficará encarregada pela retirada do objeto na Câmara Municipal de Santana da Vargem, sendo que todos os custos decorrentes do transporte do objeto para conserto ou troca, correrão às custas da CONTRATADA.</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7.12 Ao assinar o CONTRATO DE FORNECIMENTO ou ORDEM DE FORNECIMENTO, a empresa adjudicatária obriga-se a fornecer à Câmara Municipal de Santana da Vargem, o objeto que lhe foi adjudicado conforme especificações e condições contidas neste Edital e também na Proposta apresentada, prevalecendo, no caso de divergência, as especificações e condições do Edital.</w:t>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8 Do Recebimento</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End w:id="12"/>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8.1 Os bens/serviços serão recebidos provisoriamente, de forma sumária, no ato da entrega, com a nota fiscal ou instrumento de cobrança equivalente, pelo(a) responsável pelo acompanhamento e fiscalização do contrato, para efeito de posterior verificação de sua conformidade com as especificações constantes no Termo de Referência e na proposta.</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8.2 Os bens/serviços poderão ser rejeitados, no todo ou em parte, inclusive antes do recebimento provisório, quando em desacordo com as especificações constantes no Termo de Referência e na proposta, devendo ser substituídos no </w:t>
      </w:r>
      <w:r>
        <w:rPr>
          <w:b/>
          <w:color w:val="3465A4"/>
          <w:sz w:val="22"/>
          <w:szCs w:val="22"/>
        </w:rPr>
        <w:t>prazo de 7 (sete) dias</w:t>
      </w:r>
      <w:r>
        <w:rPr>
          <w:sz w:val="22"/>
          <w:szCs w:val="22"/>
        </w:rPr>
        <w:t>, a contar da notificação da contratada, às suas custas, sem prejuízo da aplicação das penalidades.</w:t>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 xml:space="preserve">8.3 Os produtos/serviços defeituosos que não oferecerem a segurança que dele legitimamente se espera, deverão ser substituídos no prazo de até </w:t>
      </w:r>
      <w:r>
        <w:rPr>
          <w:b/>
          <w:color w:val="3465A4"/>
          <w:sz w:val="22"/>
          <w:szCs w:val="22"/>
          <w:lang w:val="pt-BR"/>
        </w:rPr>
        <w:t>07 (sete) dias</w:t>
      </w:r>
      <w:r>
        <w:rPr>
          <w:sz w:val="22"/>
          <w:szCs w:val="22"/>
          <w:lang w:val="pt-BR"/>
        </w:rPr>
        <w:t xml:space="preserve"> pela CONTRATADA, e às suas expensas, contados a partir da solicitação feita pela Câmara Municipal de Santana da Vargem/MG, mantido o preço inicialmente contratado, sob pena de ser considerada em atraso quanto à obrigação contratual.</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lang w:val="pt-BR"/>
        </w:rPr>
      </w:pPr>
      <w:r>
        <w:rPr>
          <w:sz w:val="22"/>
          <w:szCs w:val="22"/>
          <w:lang w:val="pt-BR"/>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lang w:val="pt-BR"/>
        </w:rPr>
        <w:t xml:space="preserve">8.4 Os produtos considerados como duráveis que se apresentem impróprios ou inadequados ao uso a que se destina, deverão ser substituídos pela CONTRATADA, tendo a Câmara Municipal de Santana da Vargem, o prazo de </w:t>
      </w:r>
      <w:r>
        <w:rPr>
          <w:b/>
          <w:color w:val="3465A4"/>
          <w:sz w:val="22"/>
          <w:szCs w:val="22"/>
          <w:lang w:val="pt-BR"/>
        </w:rPr>
        <w:t>07 (sete) dias</w:t>
      </w:r>
      <w:r>
        <w:rPr>
          <w:color w:val="3465A4"/>
          <w:sz w:val="22"/>
          <w:szCs w:val="22"/>
          <w:lang w:val="pt-BR"/>
        </w:rPr>
        <w:t xml:space="preserve"> </w:t>
      </w:r>
      <w:r>
        <w:rPr>
          <w:sz w:val="22"/>
          <w:szCs w:val="22"/>
          <w:lang w:val="pt-BR"/>
        </w:rPr>
        <w:t xml:space="preserve">contados da data do recebimento, para reclamar a troca. </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8.5 O recebimento definitivo ocorrerá no prazo de</w:t>
      </w:r>
      <w:r>
        <w:rPr>
          <w:color w:val="auto"/>
          <w:sz w:val="22"/>
          <w:szCs w:val="22"/>
          <w:lang w:eastAsia="en-US"/>
        </w:rPr>
        <w:t xml:space="preserve"> </w:t>
      </w:r>
      <w:r>
        <w:rPr>
          <w:b/>
          <w:color w:val="3465A4"/>
          <w:sz w:val="22"/>
          <w:szCs w:val="22"/>
          <w:lang w:eastAsia="en-US"/>
        </w:rPr>
        <w:t>2 (dois) dias úteis</w:t>
      </w:r>
      <w:r>
        <w:rPr>
          <w:color w:val="auto"/>
          <w:sz w:val="22"/>
          <w:szCs w:val="22"/>
          <w:lang w:eastAsia="en-US"/>
        </w:rPr>
        <w:t>,</w:t>
      </w:r>
      <w:r>
        <w:rPr>
          <w:color w:val="FF0000"/>
          <w:sz w:val="22"/>
          <w:szCs w:val="22"/>
          <w:lang w:eastAsia="en-US"/>
        </w:rPr>
        <w:t xml:space="preserve"> </w:t>
      </w:r>
      <w:r>
        <w:rPr>
          <w:sz w:val="22"/>
          <w:szCs w:val="22"/>
          <w:lang w:eastAsia="en-US"/>
        </w:rPr>
        <w:t>a contar do recebimento da nota fiscal ou instrumento de cobrança equivalente pela Administração, após a verificação da qualidade e quantidade do material e consequente aceitação.</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8.6 Para as contratações decorrentes de despesas cujos valores não ultrapassem o limite de que trata o </w:t>
      </w:r>
      <w:r>
        <w:fldChar w:fldCharType="begin"/>
      </w:r>
      <w:r>
        <w:rPr>
          <w:sz w:val="22"/>
          <w:szCs w:val="22"/>
        </w:rPr>
        <w:instrText xml:space="preserve"> HYPERLINK "http://www.planalto.gov.br/ccivil_03/_ato2019-2022/2021/lei/L14133.htm" \l "art75"</w:instrText>
      </w:r>
      <w:r>
        <w:rPr>
          <w:sz w:val="22"/>
          <w:szCs w:val="22"/>
        </w:rPr>
        <w:fldChar w:fldCharType="separate"/>
      </w:r>
      <w:r>
        <w:rPr>
          <w:sz w:val="22"/>
          <w:szCs w:val="22"/>
        </w:rPr>
        <w:t>inciso II do art. 75 da Lei nº 14.133, de 2021</w:t>
      </w:r>
      <w:r>
        <w:rPr>
          <w:sz w:val="22"/>
          <w:szCs w:val="22"/>
        </w:rPr>
        <w:fldChar w:fldCharType="end"/>
      </w:r>
      <w:r>
        <w:rPr>
          <w:sz w:val="22"/>
          <w:szCs w:val="22"/>
        </w:rPr>
        <w:t>, o prazo máximo para o recebimento definitivo será de até 2 (dois) dias úteis.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8.7 O prazo para recebimento definitivo poderá ser excepcionalmente prorrogado, de forma justificada, por igual período, quando houver necessidade de diligências para a aferição do atendimento das exigências contratuais.</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8.8 No caso de controvérsia sobre a execução do objeto, quanto à dimensão, qualidade e quantidade, deverá ser observado o teor do </w:t>
      </w:r>
      <w:r>
        <w:fldChar w:fldCharType="begin"/>
      </w:r>
      <w:r>
        <w:rPr>
          <w:sz w:val="22"/>
          <w:szCs w:val="22"/>
        </w:rPr>
        <w:instrText xml:space="preserve"> HYPERLINK "http://www.planalto.gov.br/ccivil_03/_ato2019-2022/2021/lei/L14133.htm" \l "art143"</w:instrText>
      </w:r>
      <w:r>
        <w:rPr>
          <w:sz w:val="22"/>
          <w:szCs w:val="22"/>
        </w:rPr>
        <w:fldChar w:fldCharType="separate"/>
      </w:r>
      <w:r>
        <w:rPr>
          <w:sz w:val="22"/>
          <w:szCs w:val="22"/>
        </w:rPr>
        <w:t>art. 143 da Lei nº 14.133, de 2021</w:t>
      </w:r>
      <w:r>
        <w:rPr>
          <w:sz w:val="22"/>
          <w:szCs w:val="22"/>
        </w:rPr>
        <w:fldChar w:fldCharType="end"/>
      </w:r>
      <w:r>
        <w:rPr>
          <w:sz w:val="22"/>
          <w:szCs w:val="22"/>
        </w:rPr>
        <w:t>, comunicando-se à empresa para emissão de Nota Fiscal no que pertine à parcela incontroversa da execução do objeto, para efeito de liquidação e pagamento.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8.9 O prazo para a solução, pelo contratado, de inconsistências na execução do objeto ou de saneamento da nota fiscal ou de instrumento de cobrança equivalente, verificadas pela Administração durante a análise prévia à</w:t>
      </w:r>
      <w:r>
        <w:rPr>
          <w:sz w:val="22"/>
          <w:szCs w:val="22"/>
          <w:lang w:eastAsia="en-US"/>
        </w:rPr>
        <w:t xml:space="preserve"> liquidação de despesa, não será computado para os fins do recebimento definitivo.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8.10 O recebimento provisório ou definitivo não excluirá a responsabilidade civil pela solidez e pela segurança do serviço nem a responsabilidade ético-profissional pela perfeita execução do contrato.</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8.11 O prazo de que trata o item anterior será reduzido à metade, mantendo-se a possibilidade de prorrogação, no caso de contratações decorrentes de despesas cujos valores não ultrapassem o limite de que trata o </w:t>
      </w:r>
      <w:r>
        <w:fldChar w:fldCharType="begin"/>
      </w:r>
      <w:r>
        <w:rPr>
          <w:sz w:val="22"/>
          <w:szCs w:val="22"/>
        </w:rPr>
        <w:instrText xml:space="preserve"> HYPERLINK "http://www.planalto.gov.br/ccivil_03/_ato2019-2022/2021/lei/L14133.htm" \l "art75"</w:instrText>
      </w:r>
      <w:r>
        <w:rPr>
          <w:sz w:val="22"/>
          <w:szCs w:val="22"/>
        </w:rPr>
        <w:fldChar w:fldCharType="separate"/>
      </w:r>
      <w:r>
        <w:rPr>
          <w:sz w:val="22"/>
          <w:szCs w:val="22"/>
        </w:rPr>
        <w:t>inciso II do art. 75 da Lei nº 14.133, de 2021</w:t>
      </w:r>
      <w:r>
        <w:rPr>
          <w:sz w:val="22"/>
          <w:szCs w:val="22"/>
        </w:rPr>
        <w:fldChar w:fldCharType="end"/>
      </w:r>
      <w:r>
        <w:rPr>
          <w:sz w:val="22"/>
          <w:szCs w:val="22"/>
        </w:rPr>
        <w:t>.</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8.12 Para fins de liquidação, o setor competente deverá verificar se a nota fiscal ou instrumento de cobrança equivalente</w:t>
      </w:r>
      <w:r>
        <w:rPr>
          <w:sz w:val="22"/>
          <w:szCs w:val="22"/>
          <w:lang w:eastAsia="en-US"/>
        </w:rPr>
        <w:t xml:space="preserve"> apresentado expressa os elementos necessários e essenciais do documento, tais como: </w:t>
      </w:r>
    </w:p>
    <w:p>
      <w:pPr>
        <w:pStyle w:val="ListParagraph"/>
        <w:widowControl/>
        <w:numPr>
          <w:ilvl w:val="0"/>
          <w:numId w:val="4"/>
        </w:numPr>
        <w:tabs>
          <w:tab w:val="clear" w:pos="720"/>
          <w:tab w:val="left" w:pos="0" w:leader="none"/>
          <w:tab w:val="left" w:pos="851" w:leader="none"/>
        </w:tabs>
        <w:suppressAutoHyphens w:val="true"/>
        <w:spacing w:lineRule="auto" w:line="240" w:before="120" w:after="288"/>
        <w:ind w:left="0" w:hanging="0"/>
        <w:contextualSpacing/>
        <w:jc w:val="both"/>
        <w:rPr>
          <w:rFonts w:ascii="Times New Roman" w:hAnsi="Times New Roman"/>
          <w:sz w:val="22"/>
          <w:szCs w:val="22"/>
        </w:rPr>
      </w:pPr>
      <w:r>
        <w:rPr>
          <w:rFonts w:eastAsia="Calibri"/>
          <w:color w:val="000000"/>
          <w:sz w:val="22"/>
          <w:szCs w:val="22"/>
        </w:rPr>
        <w:t>o prazo de validade;</w:t>
      </w:r>
    </w:p>
    <w:p>
      <w:pPr>
        <w:pStyle w:val="ListParagraph"/>
        <w:widowControl/>
        <w:numPr>
          <w:ilvl w:val="0"/>
          <w:numId w:val="4"/>
        </w:numPr>
        <w:tabs>
          <w:tab w:val="clear" w:pos="720"/>
          <w:tab w:val="left" w:pos="0" w:leader="none"/>
          <w:tab w:val="left" w:pos="851" w:leader="none"/>
        </w:tabs>
        <w:suppressAutoHyphens w:val="true"/>
        <w:spacing w:lineRule="auto" w:line="240" w:before="120" w:after="288"/>
        <w:ind w:left="0" w:hanging="0"/>
        <w:contextualSpacing/>
        <w:jc w:val="both"/>
        <w:rPr>
          <w:rFonts w:ascii="Times New Roman" w:hAnsi="Times New Roman"/>
          <w:sz w:val="22"/>
          <w:szCs w:val="22"/>
        </w:rPr>
      </w:pPr>
      <w:r>
        <w:rPr>
          <w:rFonts w:eastAsia="Calibri"/>
          <w:color w:val="000000"/>
          <w:sz w:val="22"/>
          <w:szCs w:val="22"/>
        </w:rPr>
        <w:t xml:space="preserve">a data da emissão; </w:t>
      </w:r>
    </w:p>
    <w:p>
      <w:pPr>
        <w:pStyle w:val="ListParagraph"/>
        <w:widowControl/>
        <w:numPr>
          <w:ilvl w:val="0"/>
          <w:numId w:val="4"/>
        </w:numPr>
        <w:tabs>
          <w:tab w:val="clear" w:pos="720"/>
          <w:tab w:val="left" w:pos="0" w:leader="none"/>
          <w:tab w:val="left" w:pos="851" w:leader="none"/>
        </w:tabs>
        <w:suppressAutoHyphens w:val="true"/>
        <w:spacing w:lineRule="auto" w:line="240" w:before="120" w:after="288"/>
        <w:ind w:left="0" w:hanging="0"/>
        <w:contextualSpacing/>
        <w:jc w:val="both"/>
        <w:rPr>
          <w:rFonts w:ascii="Times New Roman" w:hAnsi="Times New Roman"/>
          <w:sz w:val="22"/>
          <w:szCs w:val="22"/>
        </w:rPr>
      </w:pPr>
      <w:r>
        <w:rPr>
          <w:rFonts w:eastAsia="Calibri"/>
          <w:color w:val="000000"/>
          <w:sz w:val="22"/>
          <w:szCs w:val="22"/>
        </w:rPr>
        <w:t xml:space="preserve">os dados do contrato e do órgão contratante; </w:t>
      </w:r>
    </w:p>
    <w:p>
      <w:pPr>
        <w:pStyle w:val="ListParagraph"/>
        <w:widowControl/>
        <w:numPr>
          <w:ilvl w:val="0"/>
          <w:numId w:val="4"/>
        </w:numPr>
        <w:tabs>
          <w:tab w:val="clear" w:pos="720"/>
          <w:tab w:val="left" w:pos="0" w:leader="none"/>
          <w:tab w:val="left" w:pos="851" w:leader="none"/>
        </w:tabs>
        <w:suppressAutoHyphens w:val="true"/>
        <w:spacing w:lineRule="auto" w:line="240" w:before="120" w:after="288"/>
        <w:ind w:left="0" w:hanging="0"/>
        <w:contextualSpacing/>
        <w:jc w:val="both"/>
        <w:rPr>
          <w:rFonts w:ascii="Times New Roman" w:hAnsi="Times New Roman"/>
          <w:sz w:val="22"/>
          <w:szCs w:val="22"/>
        </w:rPr>
      </w:pPr>
      <w:r>
        <w:rPr>
          <w:rFonts w:eastAsia="Calibri"/>
          <w:color w:val="000000"/>
          <w:sz w:val="22"/>
          <w:szCs w:val="22"/>
        </w:rPr>
        <w:t xml:space="preserve">o período respectivo de execução do contrato; </w:t>
      </w:r>
    </w:p>
    <w:p>
      <w:pPr>
        <w:pStyle w:val="ListParagraph"/>
        <w:widowControl/>
        <w:numPr>
          <w:ilvl w:val="0"/>
          <w:numId w:val="4"/>
        </w:numPr>
        <w:tabs>
          <w:tab w:val="clear" w:pos="720"/>
          <w:tab w:val="left" w:pos="0" w:leader="none"/>
          <w:tab w:val="left" w:pos="851" w:leader="none"/>
        </w:tabs>
        <w:suppressAutoHyphens w:val="true"/>
        <w:spacing w:lineRule="auto" w:line="240" w:before="120" w:after="288"/>
        <w:ind w:left="0" w:hanging="0"/>
        <w:contextualSpacing/>
        <w:jc w:val="both"/>
        <w:rPr>
          <w:rFonts w:ascii="Times New Roman" w:hAnsi="Times New Roman"/>
          <w:sz w:val="22"/>
          <w:szCs w:val="22"/>
        </w:rPr>
      </w:pPr>
      <w:r>
        <w:rPr>
          <w:rFonts w:eastAsia="Calibri"/>
          <w:color w:val="000000"/>
          <w:sz w:val="22"/>
          <w:szCs w:val="22"/>
        </w:rPr>
        <w:t xml:space="preserve">o valor a pagar; e </w:t>
      </w:r>
    </w:p>
    <w:p>
      <w:pPr>
        <w:pStyle w:val="ListParagraph"/>
        <w:widowControl/>
        <w:numPr>
          <w:ilvl w:val="0"/>
          <w:numId w:val="4"/>
        </w:numPr>
        <w:tabs>
          <w:tab w:val="clear" w:pos="720"/>
          <w:tab w:val="left" w:pos="0" w:leader="none"/>
          <w:tab w:val="left" w:pos="851" w:leader="none"/>
        </w:tabs>
        <w:suppressAutoHyphens w:val="true"/>
        <w:spacing w:lineRule="auto" w:line="240" w:before="120" w:after="288"/>
        <w:ind w:left="0" w:hanging="0"/>
        <w:contextualSpacing/>
        <w:jc w:val="both"/>
        <w:rPr>
          <w:rFonts w:ascii="Times New Roman" w:hAnsi="Times New Roman"/>
          <w:sz w:val="22"/>
          <w:szCs w:val="22"/>
        </w:rPr>
      </w:pPr>
      <w:r>
        <w:rPr>
          <w:rFonts w:eastAsia="Calibri"/>
          <w:color w:val="000000"/>
          <w:sz w:val="22"/>
          <w:szCs w:val="22"/>
        </w:rPr>
        <w:t>eventual destaque do valor de retenções tributárias cabíveis.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8.12 A nota fiscal ou instrumento de cobrança equivalente deverá ser obrigatoriamente acompanhado da comprovação da regularidade fiscal nos termo do </w:t>
      </w:r>
      <w:r>
        <w:fldChar w:fldCharType="begin"/>
      </w:r>
      <w:r>
        <w:rPr>
          <w:sz w:val="22"/>
          <w:szCs w:val="22"/>
        </w:rPr>
        <w:instrText xml:space="preserve"> HYPERLINK "http://www.planalto.gov.br/ccivil_03/_ato2019-2022/2021/lei/L14133.htm" \l "art68"</w:instrText>
      </w:r>
      <w:r>
        <w:rPr>
          <w:sz w:val="22"/>
          <w:szCs w:val="22"/>
        </w:rPr>
        <w:fldChar w:fldCharType="separate"/>
      </w:r>
      <w:r>
        <w:rPr>
          <w:sz w:val="22"/>
          <w:szCs w:val="22"/>
        </w:rPr>
        <w:t>art. 68 da Lei nº 14.133, de 2021.</w:t>
      </w:r>
      <w:r>
        <w:rPr>
          <w:sz w:val="22"/>
          <w:szCs w:val="22"/>
        </w:rPr>
        <w:fldChar w:fldCharType="end"/>
      </w:r>
      <w:r>
        <w:rPr>
          <w:sz w:val="22"/>
          <w:szCs w:val="22"/>
        </w:rPr>
        <w:t xml:space="preserve"> </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8 Do Pagamento</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 xml:space="preserve">8.1 O pagamento será efetuado no prazo de </w:t>
      </w:r>
      <w:r>
        <w:rPr>
          <w:rFonts w:eastAsia="" w:eastAsiaTheme="minorEastAsia"/>
          <w:b/>
          <w:color w:val="3465A4"/>
          <w:sz w:val="22"/>
          <w:szCs w:val="22"/>
          <w:shd w:fill="auto" w:val="clear"/>
          <w:lang w:eastAsia="en-US"/>
        </w:rPr>
        <w:t>10 (dez) dias úteis</w:t>
      </w:r>
      <w:r>
        <w:rPr>
          <w:sz w:val="22"/>
          <w:szCs w:val="22"/>
          <w:lang w:eastAsia="en-US"/>
        </w:rPr>
        <w:t xml:space="preserve"> contados da finalização da liquidação da despesa.</w:t>
      </w:r>
    </w:p>
    <w:p>
      <w:pPr>
        <w:pStyle w:val="ListParagraph"/>
        <w:keepLines/>
        <w:numPr>
          <w:ilvl w:val="0"/>
          <w:numId w:val="7"/>
        </w:numPr>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t>Devendo para isto a empresa vencedora apresentar Nota Fiscal Eletrônica demonstrando descrição correta dos itens, valores unitários e</w:t>
      </w:r>
      <w:r>
        <w:rPr>
          <w:spacing w:val="-9"/>
          <w:sz w:val="22"/>
          <w:szCs w:val="22"/>
        </w:rPr>
        <w:t xml:space="preserve"> </w:t>
      </w:r>
      <w:r>
        <w:rPr>
          <w:sz w:val="22"/>
          <w:szCs w:val="22"/>
        </w:rPr>
        <w:t>totais.</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Nivel2"/>
        <w:numPr>
          <w:ilvl w:val="0"/>
          <w:numId w:val="7"/>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lang w:eastAsia="en-US"/>
        </w:rPr>
        <w:t>O pagamento será realizado por meio de ordem bancária, para crédito em banco, agência e conta-corrente indicados pelo contratado.</w:t>
      </w:r>
    </w:p>
    <w:p>
      <w:pPr>
        <w:pStyle w:val="ListParagraph"/>
        <w:keepLines/>
        <w:widowControl/>
        <w:numPr>
          <w:ilvl w:val="0"/>
          <w:numId w:val="7"/>
        </w:numPr>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t>O pagamento através de boleto bancário só será efetuado mediante o vencimento do boleto na apresentação.</w:t>
      </w:r>
    </w:p>
    <w:p>
      <w:pPr>
        <w:pStyle w:val="ListParagraph"/>
        <w:keepLines/>
        <w:tabs>
          <w:tab w:val="clear" w:pos="720"/>
          <w:tab w:val="left" w:pos="0" w:leader="none"/>
          <w:tab w:val="left" w:pos="576" w:leader="none"/>
          <w:tab w:val="left" w:pos="663" w:leader="none"/>
          <w:tab w:val="left" w:pos="8052" w:leader="none"/>
        </w:tabs>
        <w:spacing w:lineRule="auto" w:line="240"/>
        <w:ind w:left="0" w:hanging="0"/>
        <w:jc w:val="both"/>
        <w:rPr>
          <w:rFonts w:ascii="Times New Roman" w:hAnsi="Times New Roman"/>
          <w:sz w:val="22"/>
          <w:szCs w:val="22"/>
        </w:rPr>
      </w:pPr>
      <w:r>
        <w:rPr>
          <w:sz w:val="22"/>
          <w:szCs w:val="22"/>
        </w:rPr>
      </w:r>
    </w:p>
    <w:p>
      <w:pPr>
        <w:pStyle w:val="ListParagraph"/>
        <w:keepLines/>
        <w:widowControl/>
        <w:numPr>
          <w:ilvl w:val="0"/>
          <w:numId w:val="7"/>
        </w:numPr>
        <w:tabs>
          <w:tab w:val="clear" w:pos="720"/>
          <w:tab w:val="left" w:pos="0" w:leader="none"/>
          <w:tab w:val="left" w:pos="437" w:leader="none"/>
        </w:tabs>
        <w:spacing w:lineRule="auto" w:line="240"/>
        <w:ind w:left="0" w:hanging="0"/>
        <w:jc w:val="both"/>
        <w:rPr>
          <w:rFonts w:ascii="Times New Roman" w:hAnsi="Times New Roman"/>
          <w:sz w:val="22"/>
          <w:szCs w:val="22"/>
        </w:rPr>
      </w:pPr>
      <w:r>
        <w:rPr>
          <w:rFonts w:eastAsia="" w:eastAsiaTheme="minorEastAsia"/>
          <w:color w:val="000000"/>
          <w:sz w:val="22"/>
          <w:szCs w:val="22"/>
          <w:lang w:val="pt-BR"/>
        </w:rPr>
        <w:t xml:space="preserve"> </w:t>
      </w:r>
      <w:r>
        <w:rPr>
          <w:rFonts w:eastAsia="" w:eastAsiaTheme="minorEastAsia"/>
          <w:color w:val="000000"/>
          <w:sz w:val="22"/>
          <w:szCs w:val="22"/>
          <w:lang w:val="pt-BR"/>
        </w:rPr>
        <w:t>A CONTRATADA deverá constar na nota fiscal a retenção de imposto de renda, bem como informar o regime tributário o qual a empresa está enquadrada, em consonância ao Decreto Municipal n.º 12.814 de 31 de julho de 2023, sob pena de retenção do Imposto de Renda sobre o valor total do documento.</w:t>
      </w:r>
    </w:p>
    <w:p>
      <w:pPr>
        <w:pStyle w:val="ListParagraph"/>
        <w:tabs>
          <w:tab w:val="clear" w:pos="720"/>
          <w:tab w:val="left" w:pos="0" w:leader="none"/>
          <w:tab w:val="left" w:pos="437" w:leader="none"/>
        </w:tabs>
        <w:spacing w:lineRule="auto" w:line="240"/>
        <w:ind w:left="0" w:hanging="0"/>
        <w:jc w:val="both"/>
        <w:rPr>
          <w:rFonts w:ascii="Times New Roman" w:hAnsi="Times New Roman" w:eastAsia="" w:eastAsiaTheme="minorEastAsia"/>
          <w:color w:val="000000"/>
          <w:sz w:val="22"/>
          <w:szCs w:val="22"/>
          <w:lang w:val="pt-BR"/>
        </w:rPr>
      </w:pPr>
      <w:r>
        <w:rPr>
          <w:rFonts w:eastAsia="" w:eastAsiaTheme="minorEastAsia"/>
          <w:color w:val="000000"/>
          <w:sz w:val="22"/>
          <w:szCs w:val="22"/>
          <w:lang w:val="pt-BR"/>
        </w:rPr>
      </w:r>
    </w:p>
    <w:p>
      <w:pPr>
        <w:pStyle w:val="ListParagraph"/>
        <w:keepLines/>
        <w:widowControl/>
        <w:numPr>
          <w:ilvl w:val="0"/>
          <w:numId w:val="7"/>
        </w:numPr>
        <w:tabs>
          <w:tab w:val="clear" w:pos="720"/>
          <w:tab w:val="left" w:pos="0" w:leader="none"/>
          <w:tab w:val="left" w:pos="851" w:leader="none"/>
        </w:tabs>
        <w:spacing w:lineRule="auto" w:line="240"/>
        <w:ind w:left="0" w:hanging="0"/>
        <w:jc w:val="both"/>
        <w:rPr>
          <w:rFonts w:ascii="Times New Roman" w:hAnsi="Times New Roman"/>
          <w:sz w:val="22"/>
          <w:szCs w:val="22"/>
        </w:rPr>
      </w:pPr>
      <w:r>
        <w:rPr>
          <w:rFonts w:eastAsia="" w:eastAsiaTheme="minorEastAsia"/>
          <w:color w:val="000000"/>
          <w:sz w:val="22"/>
          <w:szCs w:val="22"/>
          <w:lang w:val="pt-BR"/>
        </w:rPr>
        <w:t>A CONTRATADA deverá constar na nota fiscal os dados bancários para pagamento</w:t>
      </w:r>
    </w:p>
    <w:p>
      <w:pPr>
        <w:pStyle w:val="ListParagraph"/>
        <w:keepLines/>
        <w:tabs>
          <w:tab w:val="clear" w:pos="720"/>
          <w:tab w:val="left" w:pos="0" w:leader="none"/>
          <w:tab w:val="left" w:pos="663"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8.2 Para a execução do pagamento de que trata o item anterior a licitante vencedora deverá fazer constar na Nota Fiscal Eletrônica correspondente emitida, o nome do Banco e a respectiva Agência em que deverá ser creditado o valor devido pela remuneração</w:t>
      </w:r>
      <w:r>
        <w:rPr>
          <w:spacing w:val="-13"/>
          <w:sz w:val="22"/>
          <w:szCs w:val="22"/>
        </w:rPr>
        <w:t xml:space="preserve"> </w:t>
      </w:r>
      <w:r>
        <w:rPr>
          <w:sz w:val="22"/>
          <w:szCs w:val="22"/>
        </w:rPr>
        <w:t>apurada.</w:t>
      </w:r>
    </w:p>
    <w:p>
      <w:pPr>
        <w:pStyle w:val="Corpodotexto"/>
        <w:keepLines/>
        <w:tabs>
          <w:tab w:val="clear" w:pos="720"/>
          <w:tab w:val="left" w:pos="0" w:leader="none"/>
          <w:tab w:val="left" w:pos="851" w:leader="none"/>
        </w:tabs>
        <w:spacing w:lineRule="auto" w:line="240"/>
        <w:jc w:val="both"/>
        <w:rPr>
          <w:rFonts w:ascii="Times New Roman" w:hAnsi="Times New Roman"/>
          <w:sz w:val="22"/>
          <w:szCs w:val="22"/>
        </w:rPr>
      </w:pPr>
      <w:r>
        <w:rPr>
          <w:sz w:val="22"/>
          <w:szCs w:val="22"/>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8.3 A Nota Fiscal correspondente deverá ser entregue pela licitante vencedora, diretamente ao representante da CONTRATANTE, que somente atestará a entrega das mercadorias e liberará a referida Nota Fiscal para pagamento, quando cumpridas, pela CONTRATADA</w:t>
      </w:r>
      <w:r>
        <w:rPr>
          <w:b/>
          <w:sz w:val="22"/>
          <w:szCs w:val="22"/>
        </w:rPr>
        <w:t xml:space="preserve">, </w:t>
      </w:r>
      <w:r>
        <w:rPr>
          <w:sz w:val="22"/>
          <w:szCs w:val="22"/>
        </w:rPr>
        <w:t>todas as condições pactuadas.</w:t>
      </w:r>
    </w:p>
    <w:p>
      <w:pPr>
        <w:pStyle w:val="Normal"/>
        <w:keepLines/>
        <w:tabs>
          <w:tab w:val="clear" w:pos="720"/>
          <w:tab w:val="left" w:pos="0" w:leader="none"/>
          <w:tab w:val="left" w:pos="658" w:leader="none"/>
          <w:tab w:val="left" w:pos="851" w:leader="none"/>
        </w:tabs>
        <w:spacing w:lineRule="auto" w:line="240"/>
        <w:jc w:val="both"/>
        <w:rPr>
          <w:rFonts w:ascii="Times New Roman" w:hAnsi="Times New Roman"/>
          <w:sz w:val="22"/>
          <w:szCs w:val="22"/>
        </w:rPr>
      </w:pPr>
      <w:r>
        <w:rPr>
          <w:sz w:val="22"/>
          <w:szCs w:val="22"/>
        </w:rPr>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8.4  Havendo erro na Nota Fiscal ou circunstância que impeça a liquidação da despesa, aquela será devolvida à CONTRATADA</w:t>
      </w:r>
      <w:r>
        <w:rPr>
          <w:b/>
          <w:sz w:val="22"/>
          <w:szCs w:val="22"/>
        </w:rPr>
        <w:t xml:space="preserve"> </w:t>
      </w:r>
      <w:r>
        <w:rPr>
          <w:sz w:val="22"/>
          <w:szCs w:val="22"/>
        </w:rPr>
        <w:t>pelo representante da CONTRATANTE</w:t>
      </w:r>
      <w:r>
        <w:rPr>
          <w:b/>
          <w:sz w:val="22"/>
          <w:szCs w:val="22"/>
        </w:rPr>
        <w:t xml:space="preserve"> </w:t>
      </w:r>
      <w:r>
        <w:rPr>
          <w:sz w:val="22"/>
          <w:szCs w:val="22"/>
        </w:rPr>
        <w:t>e o pagamento ficará pendente até que aquela providencie as medidas saneadoras. Nesta hipótese, o prazo para pagamento iniciar-se-á após a regularização da situação ou reapresentação do documento fiscal, não acarretando qualquer ônus para a</w:t>
      </w:r>
      <w:r>
        <w:rPr>
          <w:spacing w:val="-18"/>
          <w:sz w:val="22"/>
          <w:szCs w:val="22"/>
        </w:rPr>
        <w:t xml:space="preserve"> </w:t>
      </w:r>
      <w:r>
        <w:rPr>
          <w:sz w:val="22"/>
          <w:szCs w:val="22"/>
        </w:rPr>
        <w:t>CONTRATANTE</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8.5 O pagamento será realizado por meio de ordem bancária, para crédito em banco, agência e conta-corrente indicados pelo contratado.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8.6 Será considerada data do pagamento o dia em que constar como emitida a ordem bancária para pagamento.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8.7 Quando do pagamento, será efetuada a retenção tributária prevista na legislação aplicável.</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8.8.Independentemente do percentual de tributo inserido na planilha, quando houver, serão retidos na fonte, quando da realização do pagamento, os percentuais estabelecidos na legislação vigente.</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8 Do Reajuste</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p>
    <w:p>
      <w:pPr>
        <w:pStyle w:val="PlainText"/>
        <w:numPr>
          <w:ilvl w:val="0"/>
          <w:numId w:val="0"/>
        </w:numPr>
        <w:spacing w:lineRule="auto" w:line="240"/>
        <w:ind w:left="0" w:hanging="0"/>
        <w:jc w:val="both"/>
        <w:rPr>
          <w:rFonts w:ascii="Times New Roman" w:hAnsi="Times New Roman"/>
          <w:sz w:val="22"/>
          <w:szCs w:val="22"/>
        </w:rPr>
      </w:pPr>
      <w:r>
        <w:rPr>
          <w:rFonts w:eastAsia="" w:cs="Times New Roman" w:ascii="Times New Roman" w:hAnsi="Times New Roman" w:eastAsiaTheme="minorEastAsia"/>
          <w:color w:val="000000"/>
          <w:kern w:val="0"/>
          <w:sz w:val="22"/>
          <w:szCs w:val="22"/>
          <w:lang w:val="pt-BR" w:eastAsia="en-US" w:bidi="ar-SA"/>
        </w:rPr>
        <w:t xml:space="preserve">8.1 </w:t>
      </w:r>
      <w:bookmarkStart w:id="13" w:name="_Toc155271109"/>
      <w:bookmarkStart w:id="14" w:name="_Toc124771807"/>
      <w:bookmarkStart w:id="15" w:name="_Toc124846872"/>
      <w:bookmarkEnd w:id="14"/>
      <w:bookmarkEnd w:id="15"/>
      <w:r>
        <w:rPr>
          <w:rFonts w:eastAsia="" w:cs="Times New Roman" w:ascii="Times New Roman" w:hAnsi="Times New Roman" w:eastAsiaTheme="minorEastAsia"/>
          <w:color w:val="000000"/>
          <w:kern w:val="0"/>
          <w:sz w:val="22"/>
          <w:szCs w:val="22"/>
          <w:lang w:val="pt-BR" w:eastAsia="en-US" w:bidi="ar-SA"/>
        </w:rPr>
        <w:t>Os contratos poderão ser prorrogados sucessivamente, respeitada a vigência máxima nos termos da Lei Federal de nº 14.133/2021.</w:t>
      </w:r>
      <w:bookmarkEnd w:id="13"/>
    </w:p>
    <w:p>
      <w:pPr>
        <w:pStyle w:val="PlainText"/>
        <w:spacing w:lineRule="auto" w:line="240"/>
        <w:jc w:val="both"/>
        <w:rPr>
          <w:rFonts w:ascii="Times New Roman" w:hAnsi="Times New Roman" w:eastAsia="" w:cs="Times New Roman" w:eastAsiaTheme="minorEastAsia"/>
          <w:color w:val="000000"/>
          <w:kern w:val="0"/>
          <w:sz w:val="22"/>
          <w:szCs w:val="22"/>
          <w:lang w:val="pt-BR" w:eastAsia="en-US" w:bidi="ar-SA"/>
        </w:rPr>
      </w:pPr>
      <w:r>
        <w:rPr>
          <w:rFonts w:eastAsia="" w:cs="Times New Roman" w:eastAsiaTheme="minorEastAsia" w:ascii="Times New Roman" w:hAnsi="Times New Roman"/>
          <w:color w:val="000000"/>
          <w:kern w:val="0"/>
          <w:sz w:val="22"/>
          <w:szCs w:val="22"/>
          <w:lang w:val="pt-BR" w:eastAsia="en-US" w:bidi="ar-SA"/>
        </w:rPr>
      </w:r>
    </w:p>
    <w:p>
      <w:pPr>
        <w:pStyle w:val="PlainText"/>
        <w:numPr>
          <w:ilvl w:val="0"/>
          <w:numId w:val="0"/>
        </w:numPr>
        <w:spacing w:lineRule="auto" w:line="240"/>
        <w:ind w:left="0" w:hanging="0"/>
        <w:jc w:val="both"/>
        <w:rPr>
          <w:rFonts w:ascii="Times New Roman" w:hAnsi="Times New Roman"/>
          <w:sz w:val="22"/>
          <w:szCs w:val="22"/>
        </w:rPr>
      </w:pPr>
      <w:r>
        <w:rPr>
          <w:rFonts w:eastAsia="" w:cs="Times New Roman" w:ascii="Times New Roman" w:hAnsi="Times New Roman" w:eastAsiaTheme="minorEastAsia"/>
          <w:color w:val="000000"/>
          <w:kern w:val="0"/>
          <w:sz w:val="22"/>
          <w:szCs w:val="22"/>
          <w:lang w:val="pt-BR" w:eastAsia="en-US" w:bidi="ar-SA"/>
        </w:rPr>
        <w:t xml:space="preserve">8.2 </w:t>
      </w:r>
      <w:bookmarkStart w:id="16" w:name="_Toc155271110"/>
      <w:r>
        <w:rPr>
          <w:rFonts w:eastAsia="" w:cs="Times New Roman" w:ascii="Times New Roman" w:hAnsi="Times New Roman" w:eastAsiaTheme="minorEastAsia"/>
          <w:color w:val="000000"/>
          <w:kern w:val="0"/>
          <w:sz w:val="22"/>
          <w:szCs w:val="22"/>
          <w:lang w:val="pt-BR" w:eastAsia="en-US" w:bidi="ar-SA"/>
        </w:rPr>
        <w:t>Após o período de 12 meses, poderá haver o reajuste dos valores pelo índice IPCA fornecido pelo IBGE, que será concedido após a solicitação da contratada.</w:t>
      </w:r>
      <w:bookmarkEnd w:id="16"/>
      <w:r>
        <w:rPr>
          <w:rFonts w:eastAsia="" w:cs="Times New Roman" w:ascii="Times New Roman" w:hAnsi="Times New Roman" w:eastAsiaTheme="minorEastAsia"/>
          <w:color w:val="000000"/>
          <w:kern w:val="0"/>
          <w:sz w:val="22"/>
          <w:szCs w:val="22"/>
          <w:lang w:val="pt-BR" w:eastAsia="en-US" w:bidi="ar-SA"/>
        </w:rPr>
        <w:t xml:space="preserve"> </w:t>
      </w:r>
    </w:p>
    <w:p>
      <w:pPr>
        <w:pStyle w:val="PlainText"/>
        <w:spacing w:lineRule="auto" w:line="240"/>
        <w:jc w:val="both"/>
        <w:rPr>
          <w:rFonts w:ascii="Times New Roman" w:hAnsi="Times New Roman" w:eastAsia="" w:cs="Times New Roman" w:eastAsiaTheme="minorEastAsia"/>
          <w:color w:val="000000"/>
          <w:kern w:val="0"/>
          <w:sz w:val="22"/>
          <w:szCs w:val="22"/>
          <w:lang w:val="pt-BR" w:eastAsia="en-US" w:bidi="ar-SA"/>
        </w:rPr>
      </w:pPr>
      <w:r>
        <w:rPr>
          <w:rFonts w:eastAsia="" w:cs="Times New Roman" w:eastAsiaTheme="minorEastAsia" w:ascii="Times New Roman" w:hAnsi="Times New Roman"/>
          <w:color w:val="000000"/>
          <w:kern w:val="0"/>
          <w:sz w:val="22"/>
          <w:szCs w:val="22"/>
          <w:lang w:val="pt-BR" w:eastAsia="en-US" w:bidi="ar-SA"/>
        </w:rPr>
      </w:r>
    </w:p>
    <w:p>
      <w:pPr>
        <w:pStyle w:val="PlainText"/>
        <w:numPr>
          <w:ilvl w:val="0"/>
          <w:numId w:val="0"/>
        </w:numPr>
        <w:spacing w:lineRule="auto" w:line="240"/>
        <w:ind w:left="0" w:hanging="0"/>
        <w:jc w:val="both"/>
        <w:rPr>
          <w:rFonts w:ascii="Times New Roman" w:hAnsi="Times New Roman"/>
          <w:sz w:val="22"/>
          <w:szCs w:val="22"/>
        </w:rPr>
      </w:pPr>
      <w:r>
        <w:rPr>
          <w:rFonts w:eastAsia="" w:cs="Times New Roman" w:ascii="Times New Roman" w:hAnsi="Times New Roman" w:eastAsiaTheme="minorEastAsia"/>
          <w:color w:val="000000"/>
          <w:kern w:val="0"/>
          <w:sz w:val="22"/>
          <w:szCs w:val="22"/>
          <w:lang w:val="pt-BR" w:eastAsia="en-US" w:bidi="ar-SA"/>
        </w:rPr>
        <w:t xml:space="preserve">8.3 </w:t>
      </w:r>
      <w:bookmarkStart w:id="17" w:name="_Toc155271111"/>
      <w:r>
        <w:rPr>
          <w:rFonts w:eastAsia="" w:cs="Times New Roman" w:ascii="Times New Roman" w:hAnsi="Times New Roman" w:eastAsiaTheme="minorEastAsia"/>
          <w:color w:val="000000"/>
          <w:kern w:val="0"/>
          <w:sz w:val="22"/>
          <w:szCs w:val="22"/>
          <w:lang w:val="pt-BR" w:eastAsia="en-US" w:bidi="ar-SA"/>
        </w:rPr>
        <w:t>Conforme disposto no Inciso I e Caput do Artigo 124 da Lei Federal de nº 14.133/2021, os contratos firmados poderão ser alterados com as devidas justificativas, unilateral pela Câmara Municipal, quando houver modificação do projeto ou das especificações, para melhor adequação técnica a seus objetivos e quando necessária a modificação do valor contratual em decorrência de acréscimo ou diluição quantitativa de seu objeto, nos limites de até 25% (vinte e cinco por cento) do valor inicial do contrato para obras, serviços e compras e de 50% (cinquenta por cento) no caso de reforma de edifício ou de equipamentos. Poderá também ser aditado bilateralmente para manter o equilíbrio econômico e financeiro inicial do contrato em casos de força maior, caso fortuito e fato do príncipe, em decorrência de fatos imprevisíveis ou previsíveis de consequências incalculáveis que inviabilizem a sua execução, conforme pactuado.</w:t>
      </w:r>
      <w:bookmarkEnd w:id="17"/>
      <w:r>
        <w:rPr>
          <w:rFonts w:eastAsia="" w:cs="Times New Roman" w:ascii="Times New Roman" w:hAnsi="Times New Roman" w:eastAsiaTheme="minorEastAsia"/>
          <w:color w:val="000000"/>
          <w:kern w:val="0"/>
          <w:sz w:val="22"/>
          <w:szCs w:val="22"/>
          <w:lang w:val="pt-BR" w:eastAsia="en-US" w:bidi="ar-SA"/>
        </w:rPr>
        <w:t xml:space="preserve"> </w:t>
      </w:r>
    </w:p>
    <w:p>
      <w:pPr>
        <w:pStyle w:val="PlainText"/>
        <w:spacing w:lineRule="auto" w:line="240"/>
        <w:jc w:val="both"/>
        <w:rPr>
          <w:rFonts w:ascii="Times New Roman" w:hAnsi="Times New Roman" w:eastAsia="" w:cs="Times New Roman" w:eastAsiaTheme="minorEastAsia"/>
          <w:color w:val="000000"/>
          <w:kern w:val="0"/>
          <w:sz w:val="22"/>
          <w:szCs w:val="22"/>
          <w:lang w:val="pt-BR" w:eastAsia="en-US" w:bidi="ar-SA"/>
        </w:rPr>
      </w:pPr>
      <w:r>
        <w:rPr>
          <w:rFonts w:eastAsia="" w:cs="Times New Roman" w:eastAsiaTheme="minorEastAsia" w:ascii="Times New Roman" w:hAnsi="Times New Roman"/>
          <w:color w:val="000000"/>
          <w:kern w:val="0"/>
          <w:sz w:val="22"/>
          <w:szCs w:val="22"/>
          <w:lang w:val="pt-BR" w:eastAsia="en-US" w:bidi="ar-SA"/>
        </w:rPr>
      </w:r>
    </w:p>
    <w:p>
      <w:pPr>
        <w:pStyle w:val="PlainText"/>
        <w:numPr>
          <w:ilvl w:val="0"/>
          <w:numId w:val="0"/>
        </w:numPr>
        <w:spacing w:lineRule="auto" w:line="240"/>
        <w:ind w:left="0" w:hanging="0"/>
        <w:jc w:val="both"/>
        <w:rPr>
          <w:rFonts w:ascii="Times New Roman" w:hAnsi="Times New Roman"/>
          <w:sz w:val="22"/>
          <w:szCs w:val="22"/>
        </w:rPr>
      </w:pPr>
      <w:r>
        <w:rPr>
          <w:rFonts w:eastAsia="" w:cs="Times New Roman" w:ascii="Times New Roman" w:hAnsi="Times New Roman" w:eastAsiaTheme="minorEastAsia"/>
          <w:color w:val="000000"/>
          <w:kern w:val="0"/>
          <w:sz w:val="22"/>
          <w:szCs w:val="22"/>
          <w:lang w:val="pt-BR" w:eastAsia="en-US" w:bidi="ar-SA"/>
        </w:rPr>
        <w:t xml:space="preserve">8.4 </w:t>
      </w:r>
      <w:bookmarkStart w:id="18" w:name="_Toc155271112"/>
      <w:r>
        <w:rPr>
          <w:rFonts w:eastAsia="" w:cs="Times New Roman" w:ascii="Times New Roman" w:hAnsi="Times New Roman" w:eastAsiaTheme="minorEastAsia"/>
          <w:color w:val="000000"/>
          <w:kern w:val="0"/>
          <w:sz w:val="22"/>
          <w:szCs w:val="22"/>
          <w:lang w:val="pt-BR" w:eastAsia="en-US" w:bidi="ar-SA"/>
        </w:rPr>
        <w:t>Conforme disposto no Caput do Artigo 129 da Lei Federal de nº 14.133/2021, quando da alteração contratual para supressão de obras, bens e serviços, se o contratado já houver adquirido os materiais e os colocados no local dos trabalhos, ou ainda, ter prestado os serviços, estes deverão ser pagos pela Câmara Municipal de Santana da Vargem pelos custos regularmente comprovados e monetariamente reajustados, podendo ainda caber indenização por outros danos eventualmente decorrentes da supressão, desde que regularmente comprovados.</w:t>
      </w:r>
      <w:bookmarkEnd w:id="18"/>
      <w:r>
        <w:rPr>
          <w:rFonts w:eastAsia="" w:cs="Times New Roman" w:ascii="Times New Roman" w:hAnsi="Times New Roman" w:eastAsiaTheme="minorEastAsia"/>
          <w:color w:val="000000"/>
          <w:kern w:val="0"/>
          <w:sz w:val="22"/>
          <w:szCs w:val="22"/>
          <w:lang w:val="pt-BR" w:eastAsia="en-US" w:bidi="ar-SA"/>
        </w:rPr>
        <w:t xml:space="preserve"> </w:t>
      </w:r>
    </w:p>
    <w:p>
      <w:pPr>
        <w:pStyle w:val="PlainText"/>
        <w:spacing w:lineRule="auto" w:line="240"/>
        <w:jc w:val="both"/>
        <w:rPr>
          <w:rFonts w:ascii="Times New Roman" w:hAnsi="Times New Roman" w:eastAsia="" w:cs="Times New Roman" w:eastAsiaTheme="minorEastAsia"/>
          <w:color w:val="000000"/>
          <w:kern w:val="0"/>
          <w:sz w:val="22"/>
          <w:szCs w:val="22"/>
          <w:lang w:val="pt-BR" w:eastAsia="en-US" w:bidi="ar-SA"/>
        </w:rPr>
      </w:pPr>
      <w:r>
        <w:rPr>
          <w:rFonts w:eastAsia="" w:cs="Times New Roman" w:eastAsiaTheme="minorEastAsia" w:ascii="Times New Roman" w:hAnsi="Times New Roman"/>
          <w:color w:val="000000"/>
          <w:kern w:val="0"/>
          <w:sz w:val="22"/>
          <w:szCs w:val="22"/>
          <w:lang w:val="pt-BR" w:eastAsia="en-US" w:bidi="ar-SA"/>
        </w:rPr>
      </w:r>
    </w:p>
    <w:p>
      <w:pPr>
        <w:pStyle w:val="PlainText"/>
        <w:numPr>
          <w:ilvl w:val="0"/>
          <w:numId w:val="0"/>
        </w:numPr>
        <w:spacing w:lineRule="auto" w:line="240"/>
        <w:ind w:left="0" w:hanging="0"/>
        <w:jc w:val="both"/>
        <w:rPr>
          <w:rFonts w:ascii="Times New Roman" w:hAnsi="Times New Roman"/>
          <w:sz w:val="22"/>
          <w:szCs w:val="22"/>
        </w:rPr>
      </w:pPr>
      <w:r>
        <w:rPr>
          <w:rFonts w:eastAsia="" w:cs="Times New Roman" w:ascii="Times New Roman" w:hAnsi="Times New Roman" w:eastAsiaTheme="minorEastAsia"/>
          <w:color w:val="000000"/>
          <w:kern w:val="0"/>
          <w:sz w:val="22"/>
          <w:szCs w:val="22"/>
          <w:lang w:val="pt-BR" w:eastAsia="en-US" w:bidi="ar-SA"/>
        </w:rPr>
        <w:t xml:space="preserve">8.6 </w:t>
      </w:r>
      <w:bookmarkStart w:id="19" w:name="_Toc155271113"/>
      <w:r>
        <w:rPr>
          <w:rFonts w:eastAsia="" w:cs="Times New Roman" w:ascii="Times New Roman" w:hAnsi="Times New Roman" w:eastAsiaTheme="minorEastAsia"/>
          <w:color w:val="000000"/>
          <w:kern w:val="0"/>
          <w:sz w:val="22"/>
          <w:szCs w:val="22"/>
          <w:lang w:val="pt-BR" w:eastAsia="en-US" w:bidi="ar-SA"/>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r>
        <w:rPr>
          <w:rFonts w:eastAsia="" w:cs="Times New Roman" w:ascii="Times New Roman" w:hAnsi="Times New Roman" w:eastAsiaTheme="minorEastAsia"/>
          <w:bCs/>
          <w:color w:val="000000"/>
          <w:kern w:val="0"/>
          <w:sz w:val="22"/>
          <w:szCs w:val="22"/>
          <w:lang w:val="pt-BR" w:eastAsia="en-US" w:bidi="ar-SA"/>
        </w:rPr>
        <w:t>, nos termos do artigo 134 da Lei Federal de nº 14.133/2021</w:t>
      </w:r>
      <w:r>
        <w:rPr>
          <w:rFonts w:eastAsia="" w:cs="Times New Roman" w:ascii="Times New Roman" w:hAnsi="Times New Roman" w:eastAsiaTheme="minorEastAsia"/>
          <w:b/>
          <w:bCs/>
          <w:color w:val="000000"/>
          <w:kern w:val="0"/>
          <w:sz w:val="22"/>
          <w:szCs w:val="22"/>
          <w:lang w:val="pt-BR" w:eastAsia="en-US" w:bidi="ar-SA"/>
        </w:rPr>
        <w:t>.</w:t>
      </w:r>
      <w:bookmarkEnd w:id="19"/>
    </w:p>
    <w:p>
      <w:pPr>
        <w:pStyle w:val="PlainText"/>
        <w:numPr>
          <w:ilvl w:val="0"/>
          <w:numId w:val="0"/>
        </w:numPr>
        <w:spacing w:lineRule="auto" w:line="240"/>
        <w:ind w:left="0" w:hanging="0"/>
        <w:jc w:val="both"/>
        <w:rPr>
          <w:rFonts w:ascii="Times New Roman" w:hAnsi="Times New Roman"/>
          <w:b/>
          <w:b/>
          <w:bCs/>
          <w:sz w:val="22"/>
          <w:szCs w:val="22"/>
        </w:rPr>
      </w:pPr>
      <w:r>
        <w:rPr>
          <w:rFonts w:ascii="Times New Roman" w:hAnsi="Times New Roman"/>
          <w:b/>
          <w:bCs/>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9 Do valor da Contratação</w:t>
            </w:r>
          </w:p>
        </w:tc>
      </w:tr>
    </w:tbl>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3465A4"/>
          <w:sz w:val="22"/>
          <w:szCs w:val="22"/>
          <w:shd w:fill="auto" w:val="clear"/>
        </w:rPr>
        <w:t>9.1 O custo estimado total da contratação é de R$ _______ (__________).</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9.2 O valor da proposta deve abranger os seguintes custos: impostos, encargos sociais e trabalhistas, </w:t>
      </w:r>
      <w:r>
        <w:rPr>
          <w:color w:val="3465A4"/>
          <w:sz w:val="22"/>
          <w:szCs w:val="22"/>
        </w:rPr>
        <w:t>………...</w:t>
      </w:r>
      <w:r>
        <w:rPr>
          <w:sz w:val="22"/>
          <w:szCs w:val="22"/>
        </w:rPr>
        <w:t xml:space="preserve"> entre outros custos que forem gerados para execução do serviço.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10 Da Dotação Orçamentária</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20" w:name="_Toc124846873"/>
      <w:bookmarkStart w:id="21" w:name="_Toc155271648"/>
      <w:bookmarkStart w:id="22" w:name="_Toc124846873"/>
      <w:bookmarkStart w:id="23" w:name="_Toc155271648"/>
      <w:bookmarkEnd w:id="22"/>
      <w:bookmarkEnd w:id="23"/>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rFonts w:eastAsia="Calibri" w:eastAsiaTheme="minorHAnsi"/>
          <w:iCs/>
          <w:color w:val="auto"/>
          <w:sz w:val="22"/>
          <w:szCs w:val="22"/>
          <w:lang w:val="en-US"/>
        </w:rPr>
        <w:t>10.1 Os recursos necessários ao atendimento das despesas correrão à conta da seguinte dotação orçamentária do</w:t>
      </w:r>
      <w:r>
        <w:rPr>
          <w:color w:val="auto"/>
          <w:sz w:val="22"/>
          <w:szCs w:val="22"/>
        </w:rPr>
        <w:t xml:space="preserve"> exercício financeiro vigente, e da correspondente no exercício subsequente.</w:t>
      </w:r>
    </w:p>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3465A4"/>
          <w:sz w:val="22"/>
          <w:szCs w:val="22"/>
          <w:shd w:fill="auto" w:val="clear"/>
        </w:rPr>
        <w:t>Nota: informar a dotação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11 Da Adequação ao Plano Anual de Contratações</w:t>
            </w:r>
          </w:p>
        </w:tc>
      </w:tr>
    </w:tbl>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rFonts w:eastAsia="Calibri" w:eastAsiaTheme="minorHAnsi"/>
          <w:iCs/>
          <w:color w:val="3465A4"/>
          <w:sz w:val="22"/>
          <w:szCs w:val="22"/>
          <w:lang w:val="en-US"/>
        </w:rPr>
        <w:t>11.1 Esta contratação está devidamente prevista e respaldada no Plano Anual de Contratações, conforme DFD de número XXXXX</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12 Da Garantia de Execução</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24" w:name="_Toc155271650"/>
      <w:bookmarkStart w:id="25" w:name="_Toc155271650"/>
      <w:bookmarkEnd w:id="25"/>
    </w:p>
    <w:p>
      <w:pPr>
        <w:pStyle w:val="Nvel2Red"/>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rPr>
        <w:t>12.1  Não haverá exigência de garantia contratual da execução .</w:t>
      </w:r>
    </w:p>
    <w:p>
      <w:pPr>
        <w:pStyle w:val="Nvel2Red"/>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rPr>
        <w:t>Nota: deverá ser adaptado conforme peculiaridade do objeto.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13 Das Obrigações do Contratante  (art 92,X, XI e XIV)</w:t>
            </w:r>
          </w:p>
        </w:tc>
      </w:tr>
    </w:tbl>
    <w:p>
      <w:pPr>
        <w:pStyle w:val="Ttulo1"/>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26" w:name="_Toc155271651"/>
      <w:bookmarkStart w:id="27" w:name="_Toc155271651"/>
      <w:bookmarkEnd w:id="27"/>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São obrigações do Contratante:</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13.1 Exigir o cumprimento de todas as obrigações assumidas pelo Contratado, de acordo com o contrato e seus anexos;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13.2 Receber o objeto no prazo e condições estabelecidas no Termo de Referência;</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13.3 Rejeitar, no todo ou em parte, fornecimento executado em desacordo com o CONTRATO </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13.4 Notificar o Contratado, por escrito, sobre vícios, defeitos ou incorreções verificadas no objeto fornecido, para que seja por ele substituído, reparado ou corrigido, no total ou em parte, às suas expensas;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13.5 Arcar com as despesas de publicação de extrato do CONTRATO DE FORNECIMENTO, bem como dos Termos Aditivos que venham a ser firmados.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13.6 Acompanhar e fiscalizar a execução do contrato e o cumprimento das obrigações pelo Contratado;</w:t>
      </w:r>
    </w:p>
    <w:p>
      <w:pPr>
        <w:pStyle w:val="Nivel2"/>
        <w:numPr>
          <w:ilvl w:val="0"/>
          <w:numId w:val="0"/>
        </w:numPr>
        <w:tabs>
          <w:tab w:val="clear" w:pos="720"/>
          <w:tab w:val="left" w:pos="851" w:leader="none"/>
        </w:tabs>
        <w:spacing w:lineRule="auto" w:line="240" w:before="120" w:after="288"/>
        <w:ind w:left="0" w:hanging="0"/>
        <w:jc w:val="both"/>
        <w:rPr/>
      </w:pPr>
      <w:r>
        <w:rPr>
          <w:sz w:val="22"/>
          <w:szCs w:val="22"/>
        </w:rPr>
        <w:t xml:space="preserve">13.7 Comunicar a empresa para </w:t>
      </w:r>
      <w:r>
        <w:rPr>
          <w:bCs/>
          <w:sz w:val="22"/>
          <w:szCs w:val="22"/>
        </w:rPr>
        <w:t>emissão de Nota Fiscal no que pertine à parcela incontroversa da execução do objeto, para efeito de liquidação e pagamento, quando houver controvérsia sobre a execução do objeto, quanto à dimensão, qualidade e quantidade, conforme o</w:t>
      </w:r>
      <w:r>
        <w:rPr>
          <w:bCs/>
          <w:color w:val="auto"/>
          <w:sz w:val="22"/>
          <w:szCs w:val="22"/>
        </w:rPr>
        <w:t xml:space="preserve"> </w:t>
      </w:r>
      <w:r>
        <w:fldChar w:fldCharType="begin"/>
      </w:r>
      <w:r>
        <w:rPr>
          <w:rStyle w:val="LinkdaInternet"/>
          <w:sz w:val="22"/>
          <w:szCs w:val="22"/>
          <w:bCs/>
          <w:color w:val="auto"/>
        </w:rPr>
        <w:instrText xml:space="preserve"> HYPERLINK "http://www.planalto.gov.br/ccivil_03/_ato2019-2022/2021/lei/L14133.htm" \l "art143"</w:instrText>
      </w:r>
      <w:r>
        <w:rPr>
          <w:rStyle w:val="LinkdaInternet"/>
          <w:sz w:val="22"/>
          <w:szCs w:val="22"/>
          <w:bCs/>
          <w:color w:val="auto"/>
        </w:rPr>
        <w:fldChar w:fldCharType="separate"/>
      </w:r>
      <w:r>
        <w:rPr>
          <w:rStyle w:val="LinkdaInternet"/>
          <w:bCs/>
          <w:color w:val="auto"/>
          <w:sz w:val="22"/>
          <w:szCs w:val="22"/>
        </w:rPr>
        <w:t>art. 143 da Lei nº 14.133,</w:t>
      </w:r>
      <w:r>
        <w:rPr>
          <w:rStyle w:val="LinkdaInternet"/>
          <w:sz w:val="22"/>
          <w:szCs w:val="22"/>
          <w:bCs/>
          <w:color w:val="auto"/>
        </w:rPr>
        <w:fldChar w:fldCharType="end"/>
      </w:r>
      <w:r>
        <w:rPr>
          <w:rStyle w:val="LinkdaInternet"/>
          <w:bCs/>
          <w:sz w:val="22"/>
          <w:szCs w:val="22"/>
        </w:rPr>
        <w:t xml:space="preserve"> </w:t>
      </w:r>
      <w:r>
        <w:rPr>
          <w:rStyle w:val="LinkdaInternet"/>
          <w:bCs/>
          <w:color w:val="auto"/>
          <w:sz w:val="22"/>
          <w:szCs w:val="22"/>
        </w:rPr>
        <w:t>de 2021</w:t>
      </w:r>
      <w:r>
        <w:rPr>
          <w:bCs/>
          <w:color w:val="auto"/>
          <w:sz w:val="22"/>
          <w:szCs w:val="22"/>
        </w:rPr>
        <w:t>;</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13.8 Efetuar o pagamento ao Contratado do valor correspondente ao fornecimento do objeto, no prazo, forma e condições estabelecidos no presente Contrato;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13.9 Aplicar ao Contratado as sanções previstas na lei e neste Contrato; </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13.10 Cientificar o órgão de representação judicial do jurídico para adoção das medidas cabíveis quando do descumprimento de obrigações pelo Contratado;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13.11.Explicitamente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13.12.A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14 Das Obrigações do Contratado</w:t>
            </w:r>
          </w:p>
        </w:tc>
      </w:tr>
    </w:tbl>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14.1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numPr>
          <w:ilvl w:val="0"/>
          <w:numId w:val="0"/>
        </w:numPr>
        <w:tabs>
          <w:tab w:val="clear" w:pos="720"/>
          <w:tab w:val="left" w:pos="851" w:leader="none"/>
        </w:tabs>
        <w:spacing w:lineRule="auto" w:line="240" w:before="120" w:after="288"/>
        <w:ind w:left="0" w:hanging="0"/>
        <w:jc w:val="both"/>
        <w:rPr/>
      </w:pPr>
      <w:r>
        <w:rPr>
          <w:color w:val="auto"/>
          <w:sz w:val="22"/>
          <w:szCs w:val="22"/>
        </w:rPr>
        <w:t>14.2 Responsabilizar-se pelos vícios e danos decorrentes do objeto, de acordo com o Código de Defesa do Consumidor (</w:t>
      </w:r>
      <w:hyperlink r:id="rId4">
        <w:r>
          <w:rPr>
            <w:rStyle w:val="LinkdaInternet"/>
            <w:color w:val="auto"/>
            <w:sz w:val="22"/>
            <w:szCs w:val="22"/>
          </w:rPr>
          <w:t>Lei nº 8.078, de 1990</w:t>
        </w:r>
      </w:hyperlink>
      <w:r>
        <w:rPr>
          <w:color w:val="auto"/>
          <w:sz w:val="22"/>
          <w:szCs w:val="22"/>
        </w:rPr>
        <w:t>);</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14.3 Comunicar ao contratante, no prazo máximo de 24 (vinte e quatro) horas que antecede a data da entrega, os motivos que impossibilitem o cumprimento do prazo previsto, com a devida comprovação;</w:t>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14.4 Dirimir qualquer dúvida e prestar esclarecimentos acerca da execução do CONTRATO DE FORNECIMENTO, durante toda a sua vigência;</w:t>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14.5 Colocar à disposição da CONTRATANTE todos os meios necessários para comprovação da qualidade do (s) objeto (s), permitindo a verificação de sua conformidade com as especificações e exigências do Edital.</w:t>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14.6 Arcar com todas as despesas decorrentes da execução do CONTRATO DE FORNECIMENTO, tais como salários, encargos trabalhistas, sociais e previdenciários, seguros, taxas, impostos e contribuições, indenizações, transporte, alimentação, e outras que porventura venham a ser criadas ou exigidas por lei.</w:t>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14.7 Responsabilizar-se por todos os ônus e tributos, emolumentos, honorários ou despesas incidentais sobre o objeto contratado.</w:t>
      </w:r>
    </w:p>
    <w:p>
      <w:pPr>
        <w:pStyle w:val="Nivel2"/>
        <w:numPr>
          <w:ilvl w:val="0"/>
          <w:numId w:val="0"/>
        </w:numPr>
        <w:tabs>
          <w:tab w:val="clear" w:pos="720"/>
          <w:tab w:val="left" w:pos="851" w:leader="none"/>
        </w:tabs>
        <w:spacing w:lineRule="auto" w:line="240" w:before="120" w:after="288"/>
        <w:ind w:left="0" w:hanging="0"/>
        <w:jc w:val="both"/>
        <w:rPr/>
      </w:pPr>
      <w:r>
        <w:rPr>
          <w:color w:val="auto"/>
          <w:sz w:val="22"/>
          <w:szCs w:val="22"/>
        </w:rPr>
        <w:t>14.8 Atender às determinações regulares emitidas pelo fiscal ou gestor do contrato ou autoridade superior (</w:t>
      </w:r>
      <w:r>
        <w:fldChar w:fldCharType="begin"/>
      </w:r>
      <w:r>
        <w:rPr>
          <w:rStyle w:val="LinkdaInternet"/>
          <w:sz w:val="22"/>
          <w:szCs w:val="22"/>
          <w:color w:val="auto"/>
        </w:rPr>
        <w:instrText xml:space="preserve"> HYPERLINK "http://www.planalto.gov.br/ccivil_03/_ato2019-2022/2021/lei/L14133.htm" \l "art137"</w:instrText>
      </w:r>
      <w:r>
        <w:rPr>
          <w:rStyle w:val="LinkdaInternet"/>
          <w:sz w:val="22"/>
          <w:szCs w:val="22"/>
          <w:color w:val="auto"/>
        </w:rPr>
        <w:fldChar w:fldCharType="separate"/>
      </w:r>
      <w:r>
        <w:rPr>
          <w:rStyle w:val="LinkdaInternet"/>
          <w:color w:val="auto"/>
          <w:sz w:val="22"/>
          <w:szCs w:val="22"/>
        </w:rPr>
        <w:t>art. 137, II, da Lei n.º 14.133, de 2021</w:t>
      </w:r>
      <w:r>
        <w:rPr>
          <w:rStyle w:val="LinkdaInternet"/>
          <w:sz w:val="22"/>
          <w:szCs w:val="22"/>
          <w:color w:val="auto"/>
        </w:rPr>
        <w:fldChar w:fldCharType="end"/>
      </w:r>
      <w:r>
        <w:rPr>
          <w:color w:val="auto"/>
          <w:sz w:val="22"/>
          <w:szCs w:val="22"/>
        </w:rPr>
        <w:t>) e prestar todo esclarecimento ou informação por eles solicitados;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14.9 Reparar, corrigir, remover, reconstruir ou substituir, às suas expensas, no total ou em parte, no prazo fixado pelo fiscal do contrato, os bens/serviços nos quais se verificarem vícios, defeitos ou incorreções resultantes da execução ou dos materiais empregados;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14.10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14.11Entregar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e Municipal do domicílio ou sede do contratado; 4) Certidão de Regularidade do FGTS – CRF; e 5) Certidão Negativa de Débitos Trabalhistas – CNDT; </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14.12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14.13 Comunicar ao Fiscal do contrato, no prazo de </w:t>
      </w:r>
      <w:r>
        <w:rPr>
          <w:b/>
          <w:color w:val="auto"/>
          <w:sz w:val="22"/>
          <w:szCs w:val="22"/>
        </w:rPr>
        <w:t>24 (vinte e quatro) horas</w:t>
      </w:r>
      <w:r>
        <w:rPr>
          <w:color w:val="auto"/>
          <w:sz w:val="22"/>
          <w:szCs w:val="22"/>
        </w:rPr>
        <w:t>, qualquer ocorrência anormal ou acidente que se verifique no local da execução do objeto contratual.</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14.14 Paralisar, por determinação do contratante, qualquer atividade que não esteja sendo executada de acordo com a boa técnica ou que ponha em risco a segurança de pessoas ou bens de terceiros.</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14.15 Manter durante toda a vigência do contrato, em compatibilidade com as obrigações assumidas, todas as condições exigidas para habilitação na licitação; </w:t>
      </w:r>
    </w:p>
    <w:p>
      <w:pPr>
        <w:pStyle w:val="Nivel2"/>
        <w:numPr>
          <w:ilvl w:val="0"/>
          <w:numId w:val="0"/>
        </w:numPr>
        <w:tabs>
          <w:tab w:val="clear" w:pos="720"/>
          <w:tab w:val="left" w:pos="851" w:leader="none"/>
        </w:tabs>
        <w:spacing w:lineRule="auto" w:line="240" w:before="120" w:after="288"/>
        <w:ind w:left="0" w:hanging="0"/>
        <w:jc w:val="both"/>
        <w:rPr/>
      </w:pPr>
      <w:r>
        <w:rPr>
          <w:color w:val="auto"/>
          <w:sz w:val="22"/>
          <w:szCs w:val="22"/>
        </w:rPr>
        <w:t>14.16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auto"/>
        </w:rPr>
        <w:instrText xml:space="preserve"> HYPERLINK "http://www.planalto.gov.br/ccivil_03/_ato2019-2022/2021/lei/L14133.htm" \l "art116"</w:instrText>
      </w:r>
      <w:r>
        <w:rPr>
          <w:rStyle w:val="LinkdaInternet"/>
          <w:sz w:val="22"/>
          <w:szCs w:val="22"/>
          <w:color w:val="auto"/>
        </w:rPr>
        <w:fldChar w:fldCharType="separate"/>
      </w:r>
      <w:r>
        <w:rPr>
          <w:rStyle w:val="LinkdaInternet"/>
          <w:color w:val="auto"/>
          <w:sz w:val="22"/>
          <w:szCs w:val="22"/>
        </w:rPr>
        <w:t>art. 116, da Lei n.º 14.133, de 2021</w:t>
      </w:r>
      <w:r>
        <w:rPr>
          <w:rStyle w:val="LinkdaInternet"/>
          <w:sz w:val="22"/>
          <w:szCs w:val="22"/>
          <w:color w:val="auto"/>
        </w:rPr>
        <w:fldChar w:fldCharType="end"/>
      </w:r>
      <w:r>
        <w:rPr>
          <w:color w:val="auto"/>
          <w:sz w:val="22"/>
          <w:szCs w:val="22"/>
        </w:rPr>
        <w:t>);</w:t>
      </w:r>
    </w:p>
    <w:p>
      <w:pPr>
        <w:pStyle w:val="Nivel2"/>
        <w:numPr>
          <w:ilvl w:val="0"/>
          <w:numId w:val="0"/>
        </w:numPr>
        <w:tabs>
          <w:tab w:val="clear" w:pos="720"/>
          <w:tab w:val="left" w:pos="851" w:leader="none"/>
        </w:tabs>
        <w:spacing w:lineRule="auto" w:line="240" w:before="120" w:after="288"/>
        <w:ind w:left="0" w:hanging="0"/>
        <w:jc w:val="both"/>
        <w:rPr/>
      </w:pPr>
      <w:r>
        <w:rPr>
          <w:color w:val="auto"/>
          <w:sz w:val="22"/>
          <w:szCs w:val="22"/>
        </w:rPr>
        <w:t>14.17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auto"/>
        </w:rPr>
        <w:instrText xml:space="preserve"> HYPERLINK "http://www.planalto.gov.br/ccivil_03/_ato2019-2022/2021/lei/L14133.htm" \l "art116"</w:instrText>
      </w:r>
      <w:r>
        <w:rPr>
          <w:rStyle w:val="LinkdaInternet"/>
          <w:sz w:val="22"/>
          <w:szCs w:val="22"/>
          <w:color w:val="auto"/>
        </w:rPr>
        <w:fldChar w:fldCharType="separate"/>
      </w:r>
      <w:r>
        <w:rPr>
          <w:rStyle w:val="LinkdaInternet"/>
          <w:color w:val="auto"/>
          <w:sz w:val="22"/>
          <w:szCs w:val="22"/>
        </w:rPr>
        <w:t>art. 116, parágrafo único, da Lei n.º 14.133, de 2021</w:t>
      </w:r>
      <w:r>
        <w:rPr>
          <w:rStyle w:val="LinkdaInternet"/>
          <w:sz w:val="22"/>
          <w:szCs w:val="22"/>
          <w:color w:val="auto"/>
        </w:rPr>
        <w:fldChar w:fldCharType="end"/>
      </w:r>
      <w:r>
        <w:rPr>
          <w:color w:val="auto"/>
          <w:sz w:val="22"/>
          <w:szCs w:val="22"/>
        </w:rPr>
        <w:t>);</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15 Das Obrigações do Contratado</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28" w:name="_Toc155271653"/>
      <w:bookmarkStart w:id="29" w:name="_Toc155271653"/>
      <w:bookmarkEnd w:id="29"/>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O licitante ou o contratado será responsabilizado administrativamente pelas seguintes infrações:</w:t>
      </w:r>
    </w:p>
    <w:p>
      <w:pPr>
        <w:pStyle w:val="ListParagraph"/>
        <w:widowControl/>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 dar causa à inexecução parcial do contrato;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15.2 dar causa à inexecução parcial do contrato que cause grave dano à Administração, ao funcionamento dos serviços públicos ou ao interesse coletivo;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15.3 dar causa à inexecução total do contrato;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15.4 deixar de entregar a documentação exigida para o certame;</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15.5 não manter a proposta, salvo em decorrência de fato superveniente devidamente justificado;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15.6 não celebrar o contrato ou não entregar a documentação exigida para a contratação, quando</w:t>
      </w:r>
    </w:p>
    <w:p>
      <w:pPr>
        <w:pStyle w:val="ListParagraph"/>
        <w:widowControl/>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convocado dentro do prazo de validade de sua proposta;</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15.7 ensejar o retardamento da execução ou da entrega do objeto da licitação sem motivo justificado;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15.8 apresentar declaração ou documentação falsa exigida para o certame ou prestar declaração</w:t>
      </w:r>
    </w:p>
    <w:p>
      <w:pPr>
        <w:pStyle w:val="ListParagraph"/>
        <w:widowControl/>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falsa durante a licitação ou a execução do contrato;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15.9 fraudar a licitação ou praticar ato fraudulento na execução do contrato;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15.10 comportar-se de modo inidôneo ou cometer fraude de qualquer natureza;</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15.11 praticar atos ilícitos com vistas a frustrar os objetivos da licitação;</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15.12 praticar ato lesivo previsto no art. 5º da Lei nº 12.846, de 1º de agosto de 2013.</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15.13 Serão aplicadas ao responsável pelas infrações administrativas previstas no item anterior, nos termos da Lei 14.133/21, as seguintes sanções:</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2"/>
          <w:numId w:val="8"/>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advertência;</w:t>
      </w:r>
    </w:p>
    <w:p>
      <w:pPr>
        <w:pStyle w:val="ListParagraph"/>
        <w:widowControl/>
        <w:numPr>
          <w:ilvl w:val="2"/>
          <w:numId w:val="8"/>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multa de no mínimo 0,5% (cinco décimos por cento) e máximo de 30% (trinta por cento) do valor do objeto licitado ou contratado;</w:t>
      </w:r>
    </w:p>
    <w:p>
      <w:pPr>
        <w:pStyle w:val="ListParagraph"/>
        <w:widowControl/>
        <w:numPr>
          <w:ilvl w:val="2"/>
          <w:numId w:val="8"/>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impedimento de licitar e contratar, no âmbito da Administração Pública direta e indireta do órgão licitante, pelo prazo máximo de 3 (três) anos.</w:t>
      </w:r>
    </w:p>
    <w:p>
      <w:pPr>
        <w:pStyle w:val="ListParagraph"/>
        <w:widowControl/>
        <w:numPr>
          <w:ilvl w:val="2"/>
          <w:numId w:val="8"/>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declaração de inidoneidade para licitar ou contratar no âmbito da Administração Pública direta e indireta de todos os entes federativos, pelo prazo mínimo de 3 (três) anos e máximo de 6 (seis) anos.</w:t>
      </w:r>
    </w:p>
    <w:p>
      <w:pPr>
        <w:pStyle w:val="ListParagraph"/>
        <w:widowControl/>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15.14 As sanções previstas nas alíneas “a”, “c” e “d” do item </w:t>
      </w:r>
      <w:r>
        <w:rPr>
          <w:rFonts w:eastAsia="Calibri" w:eastAsiaTheme="minorHAnsi"/>
          <w:b/>
          <w:color w:val="000000"/>
          <w:sz w:val="22"/>
          <w:szCs w:val="22"/>
          <w:lang w:val="pt-BR"/>
        </w:rPr>
        <w:t>15.13</w:t>
      </w:r>
      <w:r>
        <w:rPr>
          <w:rFonts w:eastAsia="Calibri" w:eastAsiaTheme="minorHAnsi"/>
          <w:color w:val="000000"/>
          <w:sz w:val="22"/>
          <w:szCs w:val="22"/>
          <w:lang w:val="pt-BR"/>
        </w:rPr>
        <w:t>. do presente Edital poderão ser aplicadas cumulativamente com a prevista na alínea “b” do mesmo item.</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15.15 A aplicação de multa de mora não impedirá que a Administração a converta em compensatória e promova a extinção unilateral do contrato com a aplicação cumulada de outras sanções.</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15.16 Se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15.17 A aplicação das sanções previstas no item </w:t>
      </w:r>
      <w:r>
        <w:rPr>
          <w:rFonts w:eastAsia="Calibri" w:eastAsiaTheme="minorHAnsi"/>
          <w:b/>
          <w:color w:val="000000"/>
          <w:sz w:val="22"/>
          <w:szCs w:val="22"/>
          <w:lang w:val="pt-BR"/>
        </w:rPr>
        <w:t>15.13</w:t>
      </w:r>
      <w:r>
        <w:rPr>
          <w:rFonts w:eastAsia="Calibri" w:eastAsiaTheme="minorHAnsi"/>
          <w:color w:val="000000"/>
          <w:sz w:val="22"/>
          <w:szCs w:val="22"/>
          <w:lang w:val="pt-BR"/>
        </w:rPr>
        <w:t>. deste Edital não exclui, em hipótese alguma, a obrigação de reparação integral do dano causado à Administração Pública.</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15.18 Na aplicação da sanção prevista no item 15.13</w:t>
      </w:r>
      <w:r>
        <w:rPr>
          <w:rFonts w:eastAsia="Calibri" w:eastAsiaTheme="minorHAnsi"/>
          <w:b/>
          <w:color w:val="000000"/>
          <w:sz w:val="22"/>
          <w:szCs w:val="22"/>
          <w:lang w:val="pt-BR"/>
        </w:rPr>
        <w:t>,</w:t>
      </w:r>
      <w:r>
        <w:rPr>
          <w:rFonts w:eastAsia="Calibri" w:eastAsiaTheme="minorHAnsi"/>
          <w:color w:val="000000"/>
          <w:sz w:val="22"/>
          <w:szCs w:val="22"/>
          <w:lang w:val="pt-BR"/>
        </w:rPr>
        <w:t xml:space="preserve"> alínea “b”, do presente edital, será facultada a defesa do interessado no prazo de </w:t>
      </w:r>
      <w:r>
        <w:rPr>
          <w:rFonts w:eastAsia="Calibri" w:eastAsiaTheme="minorHAnsi"/>
          <w:b/>
          <w:color w:val="000000"/>
          <w:sz w:val="22"/>
          <w:szCs w:val="22"/>
          <w:lang w:val="pt-BR"/>
        </w:rPr>
        <w:t>15 (quinze) dias úteis</w:t>
      </w:r>
      <w:r>
        <w:rPr>
          <w:rFonts w:eastAsia="Calibri" w:eastAsiaTheme="minorHAnsi"/>
          <w:color w:val="000000"/>
          <w:sz w:val="22"/>
          <w:szCs w:val="22"/>
          <w:lang w:val="pt-BR"/>
        </w:rPr>
        <w:t>, contado da data de sua intimação.</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15.19 Para aplicação das sanções previstas nas alíneas “c” e “d” do item </w:t>
      </w:r>
      <w:r>
        <w:rPr>
          <w:rFonts w:eastAsia="Calibri" w:eastAsiaTheme="minorHAnsi"/>
          <w:b/>
          <w:color w:val="000000"/>
          <w:sz w:val="22"/>
          <w:szCs w:val="22"/>
          <w:lang w:val="pt-BR"/>
        </w:rPr>
        <w:t>15.13</w:t>
      </w:r>
      <w:r>
        <w:rPr>
          <w:rFonts w:eastAsia="Calibri" w:eastAsiaTheme="minorHAnsi"/>
          <w:color w:val="000000"/>
          <w:sz w:val="22"/>
          <w:szCs w:val="22"/>
          <w:lang w:val="pt-BR"/>
        </w:rPr>
        <w:t xml:space="preserve"> do presente Edital o licitante ou o contratado será intimado para, no prazo de </w:t>
      </w:r>
      <w:r>
        <w:rPr>
          <w:rFonts w:eastAsia="Calibri" w:eastAsiaTheme="minorHAnsi"/>
          <w:b/>
          <w:color w:val="000000"/>
          <w:sz w:val="22"/>
          <w:szCs w:val="22"/>
          <w:lang w:val="pt-BR"/>
        </w:rPr>
        <w:t>15 (quinze) dias úteis</w:t>
      </w:r>
      <w:r>
        <w:rPr>
          <w:rFonts w:eastAsia="Calibri" w:eastAsiaTheme="minorHAnsi"/>
          <w:color w:val="000000"/>
          <w:sz w:val="22"/>
          <w:szCs w:val="22"/>
          <w:lang w:val="pt-BR"/>
        </w:rPr>
        <w:t>, contado da data de intimação, apresentar defesa escrita e especificar as provas que pretenda produzir.</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15.20 Na hipótese de deferimento de pedido de produção de novas provas ou de juntada de provas julgadas indispensáveis pela comissão, o licitante ou o contratado poderá apresentar alegações finais no prazo de </w:t>
      </w:r>
      <w:r>
        <w:rPr>
          <w:rFonts w:eastAsia="Calibri" w:eastAsiaTheme="minorHAnsi"/>
          <w:b/>
          <w:color w:val="000000"/>
          <w:sz w:val="22"/>
          <w:szCs w:val="22"/>
          <w:lang w:val="pt-BR"/>
        </w:rPr>
        <w:t>15 (quinze) dias úteis</w:t>
      </w:r>
      <w:r>
        <w:rPr>
          <w:rFonts w:eastAsia="Calibri" w:eastAsiaTheme="minorHAnsi"/>
          <w:color w:val="000000"/>
          <w:sz w:val="22"/>
          <w:szCs w:val="22"/>
          <w:lang w:val="pt-BR"/>
        </w:rPr>
        <w:t>, contado da data da intimação.</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15.21 Serão indeferidas pela comissão, mediante decisão fundamentada, provas ilícitas, impertinentes, desnecessárias, protelatórias ou intempestivas.</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15.22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15.23 É admitida a reabilitação do licitante ou contratado perante a própria autoridade que aplicou a penalidade, exigidos, cumulativamente:</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2"/>
          <w:numId w:val="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reparação integral do dano causado à Administração Pública;</w:t>
      </w:r>
    </w:p>
    <w:p>
      <w:pPr>
        <w:pStyle w:val="ListParagraph"/>
        <w:widowControl/>
        <w:numPr>
          <w:ilvl w:val="2"/>
          <w:numId w:val="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pagamento da multa;</w:t>
      </w:r>
    </w:p>
    <w:p>
      <w:pPr>
        <w:pStyle w:val="ListParagraph"/>
        <w:widowControl/>
        <w:numPr>
          <w:ilvl w:val="2"/>
          <w:numId w:val="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transcurso do prazo mínimo de 1 (um) ano da aplicação da penalidade, no caso de impedimento de licitar e contratar, ou de 3 (três) anos da aplicação da penalidade, no caso de declaração de inidoneidade;</w:t>
      </w:r>
    </w:p>
    <w:p>
      <w:pPr>
        <w:pStyle w:val="ListParagraph"/>
        <w:widowControl/>
        <w:numPr>
          <w:ilvl w:val="2"/>
          <w:numId w:val="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cumprimento das condições de reabilitação definidas no ato punitivo;</w:t>
      </w:r>
    </w:p>
    <w:p>
      <w:pPr>
        <w:pStyle w:val="ListParagraph"/>
        <w:widowControl/>
        <w:numPr>
          <w:ilvl w:val="2"/>
          <w:numId w:val="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análise jurídica prévia, com posicionamento conclusivo quanto ao cumprimento dos requisitos definidos neste artigo.</w:t>
      </w:r>
    </w:p>
    <w:p>
      <w:pPr>
        <w:pStyle w:val="ListParagraph"/>
        <w:widowControl/>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15 Das Normas de Regência</w:t>
            </w:r>
          </w:p>
        </w:tc>
      </w:tr>
    </w:tbl>
    <w:p>
      <w:pPr>
        <w:pStyle w:val="Ttulo1"/>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cs="Arial"/>
          <w:color w:val="0000FF"/>
          <w:sz w:val="22"/>
          <w:szCs w:val="22"/>
        </w:rPr>
        <w:t xml:space="preserve"> </w:t>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 xml:space="preserve">15.1 O presente procedimento licitatório é regido pela Lei 14.133/21, </w:t>
      </w:r>
      <w:r>
        <w:rPr>
          <w:color w:val="3465A4"/>
          <w:sz w:val="22"/>
          <w:szCs w:val="22"/>
        </w:rPr>
        <w:t>Decreto Municipal n.º ________ e</w:t>
      </w:r>
      <w:r>
        <w:rPr>
          <w:sz w:val="22"/>
          <w:szCs w:val="22"/>
        </w:rPr>
        <w:t xml:space="preserve"> regulamentações internas.</w:t>
      </w:r>
    </w:p>
    <w:p>
      <w:pPr>
        <w:pStyle w:val="ListParagraph"/>
        <w:widowControl/>
        <w:tabs>
          <w:tab w:val="clear" w:pos="720"/>
          <w:tab w:val="left" w:pos="851" w:leader="none"/>
        </w:tabs>
        <w:spacing w:lineRule="auto" w:line="240"/>
        <w:ind w:left="0" w:hanging="0"/>
        <w:jc w:val="both"/>
        <w:rPr>
          <w:rFonts w:ascii="Times New Roman" w:hAnsi="Times New Roman"/>
          <w:sz w:val="22"/>
          <w:szCs w:val="22"/>
        </w:rPr>
      </w:pPr>
      <w:r>
        <w:rPr>
          <w:sz w:val="22"/>
          <w:szCs w:val="22"/>
        </w:rPr>
      </w:r>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 xml:space="preserve">15.2 Os casos omissos no presente Termo de Referência deverão observar a legislação de regência. </w:t>
      </w:r>
    </w:p>
    <w:p>
      <w:pPr>
        <w:pStyle w:val="Ttulo1"/>
        <w:numPr>
          <w:ilvl w:val="0"/>
          <w:numId w:val="0"/>
        </w:numPr>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16 Do Foro</w:t>
            </w:r>
          </w:p>
        </w:tc>
      </w:tr>
    </w:tbl>
    <w:p>
      <w:pPr>
        <w:pStyle w:val="Ttulo1"/>
        <w:tabs>
          <w:tab w:val="clear" w:pos="720"/>
          <w:tab w:val="left" w:pos="851" w:leader="none"/>
        </w:tabs>
        <w:spacing w:lineRule="auto" w:line="240"/>
        <w:ind w:left="0" w:hanging="0"/>
        <w:jc w:val="both"/>
        <w:rPr>
          <w:rFonts w:ascii="Times New Roman" w:hAnsi="Times New Roman" w:cs="Arial"/>
          <w:color w:val="0000FF"/>
          <w:sz w:val="22"/>
          <w:szCs w:val="22"/>
        </w:rPr>
      </w:pPr>
      <w:r>
        <w:rPr>
          <w:rFonts w:cs="Arial"/>
          <w:color w:val="0000FF"/>
          <w:sz w:val="22"/>
          <w:szCs w:val="22"/>
        </w:rPr>
      </w:r>
      <w:bookmarkStart w:id="30" w:name="_Toc155271655"/>
      <w:bookmarkStart w:id="31" w:name="_Toc155271655"/>
      <w:bookmarkEnd w:id="31"/>
    </w:p>
    <w:p>
      <w:pPr>
        <w:pStyle w:val="ListParagraph"/>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16. As partes elegem o foro da comarca de Três Pontas /MG para dirimir quaisquer conflitos existentes dentre esta contratação</w:t>
      </w:r>
    </w:p>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Cs/>
          <w:color w:val="auto"/>
          <w:sz w:val="22"/>
          <w:szCs w:val="22"/>
        </w:rPr>
        <w:t>Santana da Vargem, ____ de ____________ de 2024</w:t>
      </w:r>
    </w:p>
    <w:p>
      <w:pPr>
        <w:pStyle w:val="Normal"/>
        <w:tabs>
          <w:tab w:val="clear" w:pos="720"/>
          <w:tab w:val="left" w:pos="0" w:leader="none"/>
          <w:tab w:val="left" w:pos="851" w:leader="none"/>
        </w:tabs>
        <w:spacing w:lineRule="auto" w:line="240" w:before="0" w:after="3"/>
        <w:jc w:val="both"/>
        <w:rPr>
          <w:rFonts w:ascii="Times New Roman" w:hAnsi="Times New Roman"/>
          <w:sz w:val="22"/>
          <w:szCs w:val="22"/>
        </w:rPr>
      </w:pPr>
      <w:r>
        <w:rPr>
          <w:sz w:val="22"/>
          <w:szCs w:val="22"/>
        </w:rPr>
        <w:t xml:space="preserve">________________________ </w:t>
        <w:tab/>
      </w:r>
    </w:p>
    <w:p>
      <w:pPr>
        <w:pStyle w:val="Normal"/>
        <w:tabs>
          <w:tab w:val="clear" w:pos="720"/>
          <w:tab w:val="left" w:pos="0" w:leader="none"/>
          <w:tab w:val="left" w:pos="851" w:leader="none"/>
        </w:tabs>
        <w:spacing w:lineRule="auto" w:line="240" w:before="0" w:after="3"/>
        <w:jc w:val="both"/>
        <w:rPr>
          <w:rFonts w:ascii="Times New Roman" w:hAnsi="Times New Roman"/>
          <w:sz w:val="22"/>
          <w:szCs w:val="22"/>
        </w:rPr>
      </w:pPr>
      <w:r>
        <w:rPr>
          <w:sz w:val="22"/>
          <w:szCs w:val="22"/>
        </w:rPr>
        <w:t>Nome:</w:t>
      </w:r>
    </w:p>
    <w:p>
      <w:pPr>
        <w:pStyle w:val="Normal"/>
        <w:tabs>
          <w:tab w:val="clear" w:pos="720"/>
          <w:tab w:val="left" w:pos="0" w:leader="none"/>
          <w:tab w:val="left" w:pos="851" w:leader="none"/>
        </w:tabs>
        <w:spacing w:lineRule="auto" w:line="240" w:before="0" w:after="3"/>
        <w:jc w:val="both"/>
        <w:rPr>
          <w:rFonts w:ascii="Times New Roman" w:hAnsi="Times New Roman"/>
          <w:sz w:val="22"/>
          <w:szCs w:val="22"/>
        </w:rPr>
      </w:pPr>
      <w:r>
        <w:rPr>
          <w:sz w:val="22"/>
          <w:szCs w:val="22"/>
        </w:rPr>
        <w:t xml:space="preserve">Cargo: </w:t>
      </w:r>
    </w:p>
    <w:p>
      <w:pPr>
        <w:pStyle w:val="Normal"/>
        <w:tabs>
          <w:tab w:val="clear" w:pos="720"/>
          <w:tab w:val="left" w:pos="0" w:leader="none"/>
          <w:tab w:val="left" w:pos="851" w:leader="none"/>
        </w:tabs>
        <w:spacing w:lineRule="auto" w:line="240" w:before="0" w:after="288"/>
        <w:jc w:val="both"/>
        <w:rPr>
          <w:rFonts w:ascii="Times New Roman" w:hAnsi="Times New Roman"/>
          <w:sz w:val="22"/>
          <w:szCs w:val="22"/>
        </w:rPr>
      </w:pPr>
      <w:r>
        <w:rPr>
          <w:sz w:val="22"/>
          <w:szCs w:val="22"/>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both"/>
        <w:rPr>
          <w:rFonts w:eastAsia="Times New Roman" w:cs="Arial"/>
          <w:b/>
          <w:b/>
          <w:bCs/>
          <w:lang w:val="pt-BR"/>
        </w:rPr>
      </w:pPr>
      <w:r>
        <w:rPr>
          <w:rFonts w:eastAsia="Times New Roman" w:cs="Arial"/>
          <w:b/>
          <w:bCs/>
          <w:lang w:val="pt-BR"/>
        </w:rPr>
      </w:r>
    </w:p>
    <w:p>
      <w:pPr>
        <w:pStyle w:val="Normal"/>
        <w:spacing w:lineRule="auto" w:line="240"/>
        <w:jc w:val="center"/>
        <w:rPr>
          <w:rFonts w:ascii="Times New Roman" w:hAnsi="Times New Roman"/>
          <w:sz w:val="22"/>
          <w:szCs w:val="22"/>
        </w:rPr>
      </w:pPr>
      <w:r>
        <w:rPr>
          <w:rFonts w:eastAsia="Times New Roman" w:cs="Arial"/>
          <w:b/>
          <w:bCs/>
          <w:sz w:val="22"/>
          <w:szCs w:val="22"/>
          <w:lang w:val="pt-BR"/>
        </w:rPr>
        <w:t>ANEXO V</w:t>
      </w:r>
    </w:p>
    <w:p>
      <w:pPr>
        <w:pStyle w:val="Normal"/>
        <w:spacing w:lineRule="auto" w:line="240"/>
        <w:jc w:val="center"/>
        <w:rPr>
          <w:rFonts w:ascii="Times New Roman" w:hAnsi="Times New Roman"/>
          <w:sz w:val="22"/>
          <w:szCs w:val="22"/>
        </w:rPr>
      </w:pPr>
      <w:r>
        <w:rPr>
          <w:rFonts w:eastAsia="Times New Roman" w:cs="Arial"/>
          <w:b/>
          <w:bCs/>
          <w:sz w:val="22"/>
          <w:szCs w:val="22"/>
          <w:lang w:val="pt-BR"/>
        </w:rPr>
        <w:t>DOCUMENTO DE FORMALIZAÇÃO DA PESQUISA DE PREÇO</w:t>
      </w:r>
    </w:p>
    <w:p>
      <w:pPr>
        <w:pStyle w:val="Normal"/>
        <w:spacing w:lineRule="auto" w:line="240"/>
        <w:jc w:val="center"/>
        <w:rPr>
          <w:rFonts w:ascii="Times New Roman" w:hAnsi="Times New Roman" w:eastAsia="Times New Roman" w:cs="Arial"/>
          <w:b/>
          <w:b/>
          <w:bCs/>
          <w:sz w:val="22"/>
          <w:szCs w:val="22"/>
          <w:lang w:val="pt-BR"/>
        </w:rPr>
      </w:pPr>
      <w:r>
        <w:rPr>
          <w:rFonts w:eastAsia="Times New Roman" w:cs="Arial"/>
          <w:b/>
          <w:bCs/>
          <w:sz w:val="22"/>
          <w:szCs w:val="22"/>
          <w:lang w:val="pt-BR"/>
        </w:rPr>
      </w:r>
    </w:p>
    <w:p>
      <w:pPr>
        <w:pStyle w:val="Normal"/>
        <w:widowControl w:val="false"/>
        <w:suppressAutoHyphens w:val="true"/>
        <w:bidi w:val="0"/>
        <w:spacing w:lineRule="auto" w:line="240" w:before="0" w:after="0"/>
        <w:ind w:left="0" w:right="0" w:hanging="0"/>
        <w:jc w:val="left"/>
        <w:rPr>
          <w:rFonts w:ascii="Times New Roman" w:hAnsi="Times New Roman"/>
          <w:sz w:val="22"/>
          <w:szCs w:val="22"/>
        </w:rPr>
      </w:pPr>
      <w:r>
        <w:rPr>
          <w:rFonts w:eastAsia="Times New Roman" w:cs="Arial"/>
          <w:b/>
          <w:bCs/>
          <w:sz w:val="22"/>
          <w:szCs w:val="22"/>
          <w:lang w:val="pt-BR"/>
        </w:rPr>
        <w:t>Base legal: Decreto Municipal n.º __________</w:t>
      </w:r>
    </w:p>
    <w:p>
      <w:pPr>
        <w:pStyle w:val="Normal"/>
        <w:widowControl w:val="false"/>
        <w:suppressAutoHyphens w:val="true"/>
        <w:bidi w:val="0"/>
        <w:spacing w:lineRule="auto" w:line="240" w:before="0" w:after="0"/>
        <w:ind w:left="0" w:right="0" w:hanging="0"/>
        <w:jc w:val="left"/>
        <w:rPr>
          <w:rFonts w:ascii="Times New Roman" w:hAnsi="Times New Roman"/>
          <w:sz w:val="22"/>
          <w:szCs w:val="22"/>
        </w:rPr>
      </w:pPr>
      <w:r>
        <w:rPr>
          <w:rFonts w:eastAsia="Times New Roman" w:cs="Arial"/>
          <w:b/>
          <w:bCs/>
          <w:sz w:val="22"/>
          <w:szCs w:val="22"/>
          <w:lang w:val="pt-BR"/>
        </w:rPr>
        <w:t>Lei Federal n.º 14.133 de 1 º de abril de 2023</w:t>
      </w:r>
    </w:p>
    <w:p>
      <w:pPr>
        <w:pStyle w:val="Normal"/>
        <w:widowControl w:val="false"/>
        <w:suppressAutoHyphens w:val="true"/>
        <w:bidi w:val="0"/>
        <w:spacing w:lineRule="auto" w:line="240" w:before="0" w:after="0"/>
        <w:ind w:left="0" w:right="0" w:hanging="0"/>
        <w:jc w:val="left"/>
        <w:rPr>
          <w:rFonts w:ascii="Times New Roman" w:hAnsi="Times New Roman"/>
          <w:sz w:val="22"/>
          <w:szCs w:val="22"/>
        </w:rPr>
      </w:pPr>
      <w:r>
        <w:rPr>
          <w:rFonts w:eastAsia="Times New Roman" w:cs="Arial"/>
          <w:b/>
          <w:bCs/>
          <w:sz w:val="22"/>
          <w:szCs w:val="22"/>
        </w:rPr>
        <w:t>Regulamentações Contr</w:t>
      </w:r>
      <w:bookmarkStart w:id="32" w:name="_GoBack_Copia_1"/>
      <w:bookmarkEnd w:id="32"/>
      <w:r>
        <w:rPr>
          <w:rFonts w:eastAsia="Times New Roman" w:cs="Arial"/>
          <w:b/>
          <w:bCs/>
          <w:sz w:val="22"/>
          <w:szCs w:val="22"/>
        </w:rPr>
        <w:t>ole Interno</w:t>
      </w:r>
    </w:p>
    <w:p>
      <w:pPr>
        <w:pStyle w:val="Normal"/>
        <w:spacing w:lineRule="auto" w:line="240"/>
        <w:ind w:left="851" w:hanging="0"/>
        <w:jc w:val="both"/>
        <w:rPr>
          <w:rFonts w:eastAsia="Times New Roman" w:cs="Arial"/>
          <w:b/>
          <w:b/>
          <w:bCs/>
        </w:rPr>
      </w:pPr>
      <w:r>
        <w:rPr>
          <w:rFonts w:eastAsia="Times New Roman" w:cs="Arial"/>
          <w:b/>
          <w:bCs/>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 Das Fontes Consultadas</w:t>
            </w:r>
          </w:p>
        </w:tc>
      </w:tr>
    </w:tbl>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 </w:t>
      </w:r>
      <w:r>
        <w:rPr>
          <w:rFonts w:eastAsia="Times New Roman" w:cs="Arial"/>
          <w:bCs/>
          <w:sz w:val="22"/>
          <w:szCs w:val="22"/>
          <w:lang w:val="pt-BR" w:eastAsia="en-US"/>
        </w:rPr>
        <w:t>Portal de compras governamentais.</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 </w:t>
      </w:r>
      <w:r>
        <w:rPr>
          <w:rFonts w:eastAsia="Times New Roman" w:cs="Arial"/>
          <w:bCs/>
          <w:sz w:val="22"/>
          <w:szCs w:val="22"/>
          <w:lang w:val="pt-BR" w:eastAsia="en-US"/>
        </w:rPr>
        <w:t>Portal de compras públicas</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 </w:t>
      </w:r>
      <w:r>
        <w:rPr>
          <w:rFonts w:eastAsia="Times New Roman" w:cs="Arial"/>
          <w:bCs/>
          <w:sz w:val="22"/>
          <w:szCs w:val="22"/>
          <w:lang w:val="pt-BR" w:eastAsia="en-US"/>
        </w:rPr>
        <w:t>Contratações similares de outros órgão públicos em até um ano anterior.</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 </w:t>
      </w:r>
      <w:r>
        <w:rPr>
          <w:rFonts w:eastAsia="Times New Roman" w:cs="Arial"/>
          <w:bCs/>
          <w:sz w:val="22"/>
          <w:szCs w:val="22"/>
          <w:lang w:val="pt-BR" w:eastAsia="en-US"/>
        </w:rPr>
        <w:t>Mídia especializada intervalo de até seis meses.</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 </w:t>
      </w:r>
      <w:r>
        <w:rPr>
          <w:rFonts w:eastAsia="Times New Roman" w:cs="Arial"/>
          <w:bCs/>
          <w:sz w:val="22"/>
          <w:szCs w:val="22"/>
          <w:lang w:val="pt-BR" w:eastAsia="en-US"/>
        </w:rPr>
        <w:t xml:space="preserve">Pesquisa direta com fornecedores intervalo de até seis meses </w:t>
      </w:r>
      <w:r>
        <w:rPr>
          <w:rFonts w:eastAsia="Times New Roman" w:cs="Arial"/>
          <w:bCs/>
          <w:color w:val="3465A4"/>
          <w:sz w:val="22"/>
          <w:szCs w:val="22"/>
          <w:lang w:val="pt-BR" w:eastAsia="en-US"/>
        </w:rPr>
        <w:t>inserir justificativa:</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2. Método Aplicado</w:t>
            </w:r>
          </w:p>
        </w:tc>
      </w:tr>
    </w:tbl>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Método aplicado: </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w:t>
      </w:r>
      <w:r>
        <w:rPr>
          <w:rFonts w:eastAsia="Times New Roman" w:cs="Arial"/>
          <w:bCs/>
          <w:sz w:val="22"/>
          <w:szCs w:val="22"/>
          <w:lang w:val="pt-BR" w:eastAsia="en-US"/>
        </w:rPr>
        <w:t xml:space="preserve"> Média</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w:t>
      </w:r>
      <w:r>
        <w:rPr>
          <w:rFonts w:eastAsia="Times New Roman" w:cs="Arial"/>
          <w:bCs/>
          <w:sz w:val="22"/>
          <w:szCs w:val="22"/>
          <w:lang w:val="pt-BR" w:eastAsia="en-US"/>
        </w:rPr>
        <w:t xml:space="preserve"> Mediana</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w:t>
      </w:r>
      <w:r>
        <w:rPr>
          <w:rFonts w:eastAsia="Times New Roman" w:cs="Arial"/>
          <w:bCs/>
          <w:sz w:val="22"/>
          <w:szCs w:val="22"/>
          <w:lang w:val="pt-BR" w:eastAsia="en-US"/>
        </w:rPr>
        <w:t xml:space="preserve"> Menor Preço</w:t>
      </w:r>
    </w:p>
    <w:p>
      <w:pPr>
        <w:pStyle w:val="Normal"/>
        <w:spacing w:lineRule="auto" w:line="240"/>
        <w:jc w:val="both"/>
        <w:rPr>
          <w:rFonts w:ascii="Times New Roman" w:hAnsi="Times New Roman"/>
          <w:sz w:val="22"/>
          <w:szCs w:val="22"/>
        </w:rPr>
      </w:pPr>
      <w:r>
        <w:rPr>
          <w:rFonts w:eastAsia="Times New Roman" w:cs="Arial"/>
          <w:b/>
          <w:bCs/>
          <w:sz w:val="22"/>
          <w:szCs w:val="22"/>
          <w:lang w:val="pt-BR" w:eastAsia="en-US"/>
        </w:rPr>
        <w:t xml:space="preserve">Justificativa para a metodologia utilizada: </w:t>
      </w:r>
    </w:p>
    <w:p>
      <w:pPr>
        <w:pStyle w:val="Normal"/>
        <w:spacing w:lineRule="auto" w:line="240"/>
        <w:jc w:val="both"/>
        <w:rPr>
          <w:rFonts w:ascii="Times New Roman" w:hAnsi="Times New Roman"/>
          <w:sz w:val="22"/>
          <w:szCs w:val="22"/>
        </w:rPr>
      </w:pPr>
      <w:r>
        <w:rPr>
          <w:rFonts w:eastAsia="Times New Roman" w:cs="Arial"/>
          <w:bCs/>
          <w:color w:val="3465A4"/>
          <w:sz w:val="22"/>
          <w:szCs w:val="22"/>
          <w:lang w:val="pt-BR" w:eastAsia="en-US"/>
        </w:rPr>
        <w:t>Nota: A utilização do preço médio contribui para evitar propostas extremamente elevadas ou desproporcionais. Ao conhecer a média de preços, a autarquia consegue identificar propostas que estejam significativamente acima da média ou valores inexequíveis.</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3. Das cotações</w:t>
            </w:r>
          </w:p>
        </w:tc>
      </w:tr>
    </w:tbl>
    <w:p>
      <w:pPr>
        <w:pStyle w:val="Normal"/>
        <w:spacing w:lineRule="auto" w:line="240"/>
        <w:jc w:val="both"/>
        <w:rPr>
          <w:rFonts w:ascii="Times New Roman" w:hAnsi="Times New Roman"/>
          <w:sz w:val="22"/>
          <w:szCs w:val="22"/>
        </w:rPr>
      </w:pPr>
      <w:r>
        <w:rPr>
          <w:rFonts w:eastAsia="Times New Roman" w:cs="Arial"/>
          <w:b/>
          <w:iCs/>
          <w:sz w:val="22"/>
          <w:szCs w:val="22"/>
          <w:lang w:val="pt-BR" w:eastAsia="en-US"/>
        </w:rPr>
        <w:t xml:space="preserve">3.1 A quantidade dos itens pesquisados é compatível com a quantidade a ser adquirida? </w:t>
      </w:r>
    </w:p>
    <w:p>
      <w:pPr>
        <w:pStyle w:val="Normal"/>
        <w:spacing w:lineRule="auto" w:line="240"/>
        <w:jc w:val="both"/>
        <w:rPr>
          <w:rFonts w:ascii="Times New Roman" w:hAnsi="Times New Roman"/>
          <w:sz w:val="22"/>
          <w:szCs w:val="22"/>
        </w:rPr>
      </w:pPr>
      <w:r>
        <w:rPr>
          <w:rFonts w:eastAsia="Times New Roman" w:cs="Arial"/>
          <w:b/>
          <w:iCs/>
          <w:sz w:val="22"/>
          <w:szCs w:val="22"/>
          <w:lang w:val="pt-BR" w:eastAsia="en-US"/>
        </w:rPr>
        <w:t xml:space="preserve">() sim  () não </w:t>
      </w:r>
      <w:r>
        <w:rPr>
          <w:rFonts w:eastAsia="Times New Roman" w:cs="Arial"/>
          <w:b w:val="false"/>
          <w:bCs w:val="false"/>
          <w:iCs/>
          <w:color w:val="3465A4"/>
          <w:sz w:val="22"/>
          <w:szCs w:val="22"/>
          <w:lang w:val="pt-BR" w:eastAsia="en-US"/>
        </w:rPr>
        <w:t xml:space="preserve">Nota: </w:t>
      </w:r>
      <w:r>
        <w:rPr>
          <w:rFonts w:eastAsia="Times New Roman" w:cs="Arial"/>
          <w:iCs/>
          <w:color w:val="3465A4"/>
          <w:sz w:val="22"/>
          <w:szCs w:val="22"/>
          <w:lang w:val="pt-BR" w:eastAsia="en-US"/>
        </w:rPr>
        <w:t>Caso tenha marcado não, inserir justificativa:</w:t>
      </w:r>
    </w:p>
    <w:p>
      <w:pPr>
        <w:pStyle w:val="Normal"/>
        <w:spacing w:lineRule="auto" w:line="240"/>
        <w:jc w:val="both"/>
        <w:rPr>
          <w:rFonts w:ascii="Times New Roman" w:hAnsi="Times New Roman"/>
          <w:sz w:val="22"/>
          <w:szCs w:val="22"/>
        </w:rPr>
      </w:pPr>
      <w:r>
        <w:rPr>
          <w:rFonts w:eastAsia="Times New Roman" w:cs="Arial"/>
          <w:b/>
          <w:sz w:val="22"/>
          <w:szCs w:val="22"/>
          <w:lang w:val="pt-BR" w:eastAsia="en-US"/>
        </w:rPr>
        <w:t xml:space="preserve">3.2 Os valores inexequíveis, inconsistentes e os excessivamente elevados foram desconsiderados? </w:t>
      </w:r>
    </w:p>
    <w:p>
      <w:pPr>
        <w:pStyle w:val="Normal"/>
        <w:spacing w:lineRule="auto" w:line="240"/>
        <w:jc w:val="both"/>
        <w:rPr>
          <w:rFonts w:ascii="Times New Roman" w:hAnsi="Times New Roman"/>
          <w:sz w:val="22"/>
          <w:szCs w:val="22"/>
        </w:rPr>
      </w:pPr>
      <w:r>
        <w:rPr>
          <w:rFonts w:eastAsia="Times New Roman" w:cs="Arial"/>
          <w:b/>
          <w:iCs/>
          <w:sz w:val="22"/>
          <w:szCs w:val="22"/>
          <w:lang w:val="pt-BR" w:eastAsia="en-US"/>
        </w:rPr>
        <w:t xml:space="preserve">() sim  () não </w:t>
      </w:r>
      <w:r>
        <w:rPr>
          <w:rFonts w:eastAsia="Times New Roman" w:cs="Arial"/>
          <w:b w:val="false"/>
          <w:bCs w:val="false"/>
          <w:iCs/>
          <w:color w:val="3465A4"/>
          <w:sz w:val="22"/>
          <w:szCs w:val="22"/>
          <w:lang w:val="pt-BR" w:eastAsia="en-US"/>
        </w:rPr>
        <w:t>Nota:</w:t>
      </w:r>
      <w:r>
        <w:rPr>
          <w:rFonts w:eastAsia="Times New Roman" w:cs="Arial"/>
          <w:b/>
          <w:iCs/>
          <w:sz w:val="22"/>
          <w:szCs w:val="22"/>
          <w:lang w:val="pt-BR" w:eastAsia="en-US"/>
        </w:rPr>
        <w:t xml:space="preserve"> </w:t>
      </w:r>
      <w:r>
        <w:rPr>
          <w:rFonts w:eastAsia="Times New Roman" w:cs="Arial"/>
          <w:iCs/>
          <w:color w:val="3465A4"/>
          <w:sz w:val="22"/>
          <w:szCs w:val="22"/>
          <w:lang w:val="pt-BR" w:eastAsia="en-US"/>
        </w:rPr>
        <w:t>Caso tenha marcado não, inserir justificativa:</w:t>
      </w:r>
    </w:p>
    <w:p>
      <w:pPr>
        <w:pStyle w:val="Normal"/>
        <w:spacing w:lineRule="auto" w:line="240"/>
        <w:jc w:val="both"/>
        <w:rPr>
          <w:rFonts w:ascii="Times New Roman" w:hAnsi="Times New Roman"/>
          <w:sz w:val="22"/>
          <w:szCs w:val="22"/>
        </w:rPr>
      </w:pPr>
      <w:r>
        <w:rPr>
          <w:rFonts w:eastAsia="Times New Roman" w:cs="Arial"/>
          <w:b/>
          <w:sz w:val="22"/>
          <w:szCs w:val="22"/>
          <w:lang w:val="pt-BR" w:eastAsia="en-US"/>
        </w:rPr>
        <w:t>3.3 Houve pesquisa com menos de três preços?</w:t>
      </w:r>
    </w:p>
    <w:p>
      <w:pPr>
        <w:pStyle w:val="Normal"/>
        <w:spacing w:lineRule="auto" w:line="240"/>
        <w:jc w:val="both"/>
        <w:rPr>
          <w:rFonts w:ascii="Times New Roman" w:hAnsi="Times New Roman"/>
          <w:sz w:val="22"/>
          <w:szCs w:val="22"/>
        </w:rPr>
      </w:pPr>
      <w:r>
        <w:rPr>
          <w:rFonts w:eastAsia="Times New Roman" w:cs="Arial"/>
          <w:b/>
          <w:iCs/>
          <w:sz w:val="22"/>
          <w:szCs w:val="22"/>
          <w:lang w:val="pt-BR" w:eastAsia="en-US"/>
        </w:rPr>
        <w:t xml:space="preserve">() sim  () não </w:t>
      </w:r>
      <w:r>
        <w:rPr>
          <w:rFonts w:eastAsia="Times New Roman" w:cs="Arial"/>
          <w:b w:val="false"/>
          <w:bCs w:val="false"/>
          <w:iCs/>
          <w:color w:val="3465A4"/>
          <w:sz w:val="22"/>
          <w:szCs w:val="22"/>
          <w:lang w:val="pt-BR" w:eastAsia="en-US"/>
        </w:rPr>
        <w:t>Nota:</w:t>
      </w:r>
      <w:r>
        <w:rPr>
          <w:rFonts w:eastAsia="Times New Roman" w:cs="Arial"/>
          <w:b/>
          <w:iCs/>
          <w:sz w:val="22"/>
          <w:szCs w:val="22"/>
          <w:lang w:val="pt-BR" w:eastAsia="en-US"/>
        </w:rPr>
        <w:t xml:space="preserve"> </w:t>
      </w:r>
      <w:r>
        <w:rPr>
          <w:rFonts w:eastAsia="Times New Roman" w:cs="Arial"/>
          <w:i w:val="false"/>
          <w:iCs w:val="false"/>
          <w:color w:val="3465A4"/>
          <w:sz w:val="22"/>
          <w:szCs w:val="22"/>
          <w:lang w:val="pt-BR" w:eastAsia="en-US"/>
        </w:rPr>
        <w:t>Caso tenha marcado sim, inserir justificativa:</w:t>
      </w:r>
    </w:p>
    <w:p>
      <w:pPr>
        <w:pStyle w:val="Normal"/>
        <w:spacing w:lineRule="auto" w:line="240"/>
        <w:jc w:val="both"/>
        <w:rPr>
          <w:rFonts w:ascii="Times New Roman" w:hAnsi="Times New Roman" w:eastAsia="Times New Roman" w:cs="Arial"/>
          <w:color w:val="FF0000"/>
          <w:sz w:val="22"/>
          <w:szCs w:val="22"/>
        </w:rPr>
      </w:pPr>
      <w:r>
        <w:rPr>
          <w:rFonts w:eastAsia="Times New Roman" w:cs="Arial"/>
          <w:color w:val="FF0000"/>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4. Resumo das cotações</w:t>
            </w:r>
          </w:p>
        </w:tc>
      </w:tr>
    </w:tbl>
    <w:p>
      <w:pPr>
        <w:pStyle w:val="Normal"/>
        <w:spacing w:lineRule="auto" w:line="240"/>
        <w:jc w:val="both"/>
        <w:rPr>
          <w:rFonts w:ascii="Times New Roman" w:hAnsi="Times New Roman" w:eastAsia="Times New Roman" w:cs="Arial"/>
          <w:i/>
          <w:i/>
          <w:iCs/>
          <w:color w:val="FF0000"/>
          <w:sz w:val="22"/>
          <w:szCs w:val="22"/>
        </w:rPr>
      </w:pPr>
      <w:r>
        <w:rPr>
          <w:rFonts w:eastAsia="Times New Roman" w:cs="Arial"/>
          <w:i/>
          <w:iCs/>
          <w:color w:val="FF0000"/>
          <w:sz w:val="22"/>
          <w:szCs w:val="22"/>
        </w:rPr>
      </w:r>
    </w:p>
    <w:tbl>
      <w:tblPr>
        <w:tblW w:w="5000" w:type="pct"/>
        <w:jc w:val="left"/>
        <w:tblInd w:w="55" w:type="dxa"/>
        <w:tblLayout w:type="fixed"/>
        <w:tblCellMar>
          <w:top w:w="55" w:type="dxa"/>
          <w:left w:w="55" w:type="dxa"/>
          <w:bottom w:w="55" w:type="dxa"/>
          <w:right w:w="55" w:type="dxa"/>
        </w:tblCellMar>
      </w:tblPr>
      <w:tblGrid>
        <w:gridCol w:w="1535"/>
        <w:gridCol w:w="1535"/>
        <w:gridCol w:w="1536"/>
        <w:gridCol w:w="1536"/>
        <w:gridCol w:w="1535"/>
        <w:gridCol w:w="1535"/>
      </w:tblGrid>
      <w:tr>
        <w:trPr/>
        <w:tc>
          <w:tcPr>
            <w:tcW w:w="1535" w:type="dxa"/>
            <w:tcBorders>
              <w:top w:val="single" w:sz="4" w:space="0" w:color="000000"/>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t>Descrição do Objeto</w:t>
            </w:r>
          </w:p>
        </w:tc>
        <w:tc>
          <w:tcPr>
            <w:tcW w:w="1535" w:type="dxa"/>
            <w:tcBorders>
              <w:top w:val="single" w:sz="4" w:space="0" w:color="000000"/>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t>Fonte de Consulta 1</w:t>
            </w:r>
          </w:p>
        </w:tc>
        <w:tc>
          <w:tcPr>
            <w:tcW w:w="1536" w:type="dxa"/>
            <w:tcBorders>
              <w:top w:val="single" w:sz="4" w:space="0" w:color="000000"/>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t>Fonte de Consulta 2</w:t>
            </w:r>
          </w:p>
        </w:tc>
        <w:tc>
          <w:tcPr>
            <w:tcW w:w="1536" w:type="dxa"/>
            <w:tcBorders>
              <w:top w:val="single" w:sz="4" w:space="0" w:color="000000"/>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t>Fonte de Consulta 3</w:t>
            </w:r>
          </w:p>
        </w:tc>
        <w:tc>
          <w:tcPr>
            <w:tcW w:w="1535" w:type="dxa"/>
            <w:tcBorders>
              <w:top w:val="single" w:sz="4" w:space="0" w:color="000000"/>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t>Fonte de Consulta 4</w:t>
            </w:r>
          </w:p>
        </w:tc>
        <w:tc>
          <w:tcPr>
            <w:tcW w:w="1535"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t>Fonte de Consulta 5</w:t>
            </w:r>
          </w:p>
        </w:tc>
      </w:tr>
      <w:tr>
        <w:trPr/>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6"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6"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right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r>
      <w:tr>
        <w:trPr/>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6"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6"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right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r>
      <w:tr>
        <w:trPr/>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6"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6"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c>
          <w:tcPr>
            <w:tcW w:w="1535" w:type="dxa"/>
            <w:tcBorders>
              <w:left w:val="single" w:sz="4" w:space="0" w:color="000000"/>
              <w:bottom w:val="single" w:sz="4" w:space="0" w:color="000000"/>
              <w:right w:val="single" w:sz="4" w:space="0" w:color="000000"/>
            </w:tcBorders>
          </w:tcPr>
          <w:p>
            <w:pPr>
              <w:pStyle w:val="Contedodatabela"/>
              <w:widowControl w:val="false"/>
              <w:spacing w:lineRule="auto" w:line="240"/>
              <w:jc w:val="both"/>
              <w:rPr>
                <w:rFonts w:ascii="Times New Roman" w:hAnsi="Times New Roman"/>
                <w:sz w:val="22"/>
                <w:szCs w:val="22"/>
              </w:rPr>
            </w:pPr>
            <w:r>
              <w:rPr>
                <w:sz w:val="22"/>
                <w:szCs w:val="22"/>
              </w:rPr>
            </w:r>
          </w:p>
        </w:tc>
      </w:tr>
    </w:tbl>
    <w:p>
      <w:pPr>
        <w:pStyle w:val="Normal"/>
        <w:spacing w:lineRule="auto" w:line="240"/>
        <w:jc w:val="both"/>
        <w:rPr>
          <w:rFonts w:ascii="Times New Roman" w:hAnsi="Times New Roman" w:eastAsia="Times New Roman" w:cs="Arial"/>
          <w:iCs/>
          <w:sz w:val="22"/>
          <w:szCs w:val="22"/>
          <w:lang w:val="pt-BR" w:eastAsia="en-US"/>
        </w:rPr>
      </w:pPr>
      <w:r>
        <w:rPr>
          <w:rFonts w:eastAsia="Times New Roman" w:cs="Arial"/>
          <w:iCs/>
          <w:sz w:val="22"/>
          <w:szCs w:val="22"/>
          <w:lang w:val="pt-BR" w:eastAsia="en-US"/>
        </w:rPr>
      </w:r>
    </w:p>
    <w:p>
      <w:pPr>
        <w:pStyle w:val="Normal"/>
        <w:spacing w:lineRule="auto" w:line="240"/>
        <w:jc w:val="both"/>
        <w:rPr>
          <w:rFonts w:ascii="Times New Roman" w:hAnsi="Times New Roman"/>
          <w:sz w:val="22"/>
          <w:szCs w:val="22"/>
        </w:rPr>
      </w:pPr>
      <w:r>
        <w:rPr>
          <w:rFonts w:eastAsia="Times New Roman" w:cs="Arial"/>
          <w:iCs/>
          <w:sz w:val="22"/>
          <w:szCs w:val="22"/>
          <w:lang w:val="pt-BR" w:eastAsia="en-US"/>
        </w:rPr>
        <w:t>Santana da Vargem, ____ de ____ de 20__</w:t>
      </w:r>
    </w:p>
    <w:p>
      <w:pPr>
        <w:pStyle w:val="Normal"/>
        <w:spacing w:lineRule="auto" w:line="240"/>
        <w:jc w:val="both"/>
        <w:rPr>
          <w:rFonts w:ascii="Times New Roman" w:hAnsi="Times New Roman" w:eastAsia="Times New Roman" w:cs="Arial"/>
          <w:i/>
          <w:i/>
          <w:color w:val="FF0000"/>
          <w:sz w:val="22"/>
          <w:szCs w:val="22"/>
        </w:rPr>
      </w:pPr>
      <w:r>
        <w:rPr>
          <w:rFonts w:eastAsia="Times New Roman" w:cs="Arial"/>
          <w:i/>
          <w:color w:val="FF0000"/>
          <w:sz w:val="22"/>
          <w:szCs w:val="22"/>
        </w:rPr>
      </w:r>
    </w:p>
    <w:p>
      <w:pPr>
        <w:pStyle w:val="Normal"/>
        <w:spacing w:lineRule="auto" w:line="240"/>
        <w:jc w:val="both"/>
        <w:rPr>
          <w:rFonts w:ascii="Times New Roman" w:hAnsi="Times New Roman" w:eastAsia="Times New Roman" w:cs="Arial"/>
          <w:i/>
          <w:i/>
          <w:color w:val="FF0000"/>
          <w:sz w:val="22"/>
          <w:szCs w:val="22"/>
        </w:rPr>
      </w:pPr>
      <w:r>
        <w:rPr>
          <w:rFonts w:eastAsia="Times New Roman" w:cs="Arial"/>
          <w:i/>
          <w:color w:val="FF0000"/>
          <w:sz w:val="22"/>
          <w:szCs w:val="22"/>
        </w:rPr>
      </w:r>
    </w:p>
    <w:p>
      <w:pPr>
        <w:pStyle w:val="Normal"/>
        <w:spacing w:lineRule="auto" w:line="240"/>
        <w:jc w:val="both"/>
        <w:rPr>
          <w:rFonts w:ascii="Times New Roman" w:hAnsi="Times New Roman" w:eastAsia="Times New Roman" w:cs="Arial"/>
          <w:i/>
          <w:i/>
          <w:iCs/>
          <w:color w:val="FF0000"/>
          <w:sz w:val="22"/>
          <w:szCs w:val="22"/>
          <w:lang w:val="pt-BR" w:eastAsia="en-US"/>
        </w:rPr>
      </w:pPr>
      <w:r>
        <w:rPr>
          <w:rFonts w:eastAsia="Times New Roman" w:cs="Arial"/>
          <w:i/>
          <w:iCs/>
          <w:color w:val="FF0000"/>
          <w:sz w:val="22"/>
          <w:szCs w:val="22"/>
          <w:lang w:val="pt-BR" w:eastAsia="en-US"/>
        </w:rPr>
      </w:r>
    </w:p>
    <w:p>
      <w:pPr>
        <w:pStyle w:val="Normal"/>
        <w:spacing w:lineRule="auto" w:line="240"/>
        <w:jc w:val="both"/>
        <w:rPr>
          <w:rFonts w:ascii="Times New Roman" w:hAnsi="Times New Roman" w:eastAsia="Times New Roman" w:cs="Arial"/>
          <w:i/>
          <w:i/>
          <w:iCs/>
          <w:color w:val="FF0000"/>
          <w:sz w:val="22"/>
          <w:szCs w:val="22"/>
          <w:lang w:val="pt-BR" w:eastAsia="en-US"/>
        </w:rPr>
      </w:pPr>
      <w:r>
        <w:rPr>
          <w:rFonts w:eastAsia="Times New Roman" w:cs="Arial"/>
          <w:i/>
          <w:iCs/>
          <w:color w:val="FF0000"/>
          <w:sz w:val="22"/>
          <w:szCs w:val="22"/>
          <w:lang w:val="pt-BR" w:eastAsia="en-US"/>
        </w:rPr>
      </w:r>
    </w:p>
    <w:p>
      <w:pPr>
        <w:pStyle w:val="Normal"/>
        <w:spacing w:lineRule="auto" w:line="240"/>
        <w:jc w:val="both"/>
        <w:rPr>
          <w:rFonts w:ascii="Times New Roman" w:hAnsi="Times New Roman"/>
          <w:sz w:val="22"/>
          <w:szCs w:val="22"/>
        </w:rPr>
      </w:pPr>
      <w:r>
        <w:rPr>
          <w:rFonts w:eastAsia="Times New Roman" w:cs="Arial"/>
          <w:b/>
          <w:bCs/>
          <w:color w:val="000000"/>
          <w:sz w:val="22"/>
          <w:szCs w:val="22"/>
          <w:lang w:val="pt-BR" w:eastAsia="en-US"/>
        </w:rPr>
        <w:t>Servidor responsável pela cotação</w:t>
      </w:r>
    </w:p>
    <w:p>
      <w:pPr>
        <w:pStyle w:val="Normal"/>
        <w:spacing w:lineRule="auto" w:line="240"/>
        <w:jc w:val="both"/>
        <w:rPr>
          <w:rFonts w:ascii="Times New Roman" w:hAnsi="Times New Roman"/>
          <w:sz w:val="22"/>
          <w:szCs w:val="22"/>
        </w:rPr>
      </w:pPr>
      <w:r>
        <w:rPr>
          <w:rFonts w:eastAsia="Times New Roman" w:cs="Arial"/>
          <w:b/>
          <w:iCs/>
          <w:color w:val="000000"/>
          <w:sz w:val="22"/>
          <w:szCs w:val="22"/>
          <w:lang w:val="pt-BR" w:eastAsia="en-US"/>
        </w:rPr>
        <w:t>Cargo</w:t>
      </w:r>
    </w:p>
    <w:p>
      <w:pPr>
        <w:pStyle w:val="Normal"/>
        <w:spacing w:lineRule="auto" w:line="240"/>
        <w:jc w:val="both"/>
        <w:rPr>
          <w:rFonts w:ascii="Times New Roman" w:hAnsi="Times New Roman" w:eastAsia="Times New Roman" w:cs="Arial"/>
          <w:i/>
          <w:i/>
          <w:color w:val="000000"/>
          <w:sz w:val="22"/>
          <w:szCs w:val="22"/>
        </w:rPr>
      </w:pPr>
      <w:r>
        <w:rPr>
          <w:rFonts w:eastAsia="Times New Roman" w:cs="Arial"/>
          <w:i/>
          <w:color w:val="000000"/>
          <w:sz w:val="22"/>
          <w:szCs w:val="22"/>
        </w:rPr>
      </w:r>
    </w:p>
    <w:p>
      <w:pPr>
        <w:pStyle w:val="Normal"/>
        <w:spacing w:lineRule="auto" w:line="240"/>
        <w:jc w:val="both"/>
        <w:rPr>
          <w:rFonts w:ascii="Times New Roman" w:hAnsi="Times New Roman" w:eastAsia="Times New Roman" w:cs="Arial"/>
          <w:i/>
          <w:i/>
          <w:color w:val="000000"/>
          <w:sz w:val="22"/>
          <w:szCs w:val="22"/>
        </w:rPr>
      </w:pPr>
      <w:r>
        <w:rPr>
          <w:rFonts w:eastAsia="Times New Roman" w:cs="Arial"/>
          <w:i/>
          <w:color w:val="000000"/>
          <w:sz w:val="22"/>
          <w:szCs w:val="22"/>
        </w:rPr>
      </w:r>
    </w:p>
    <w:p>
      <w:pPr>
        <w:pStyle w:val="Normal"/>
        <w:spacing w:lineRule="auto" w:line="240"/>
        <w:jc w:val="both"/>
        <w:rPr>
          <w:rFonts w:ascii="Times New Roman" w:hAnsi="Times New Roman" w:eastAsia="Times New Roman" w:cs="Arial"/>
          <w:i/>
          <w:i/>
          <w:color w:val="000000"/>
          <w:sz w:val="22"/>
          <w:szCs w:val="22"/>
        </w:rPr>
      </w:pPr>
      <w:r>
        <w:rPr>
          <w:rFonts w:eastAsia="Times New Roman" w:cs="Arial"/>
          <w:i/>
          <w:color w:val="000000"/>
          <w:sz w:val="22"/>
          <w:szCs w:val="22"/>
        </w:rPr>
      </w:r>
    </w:p>
    <w:p>
      <w:pPr>
        <w:pStyle w:val="Normal"/>
        <w:spacing w:lineRule="auto" w:line="240"/>
        <w:jc w:val="both"/>
        <w:rPr>
          <w:rFonts w:ascii="Times New Roman" w:hAnsi="Times New Roman" w:eastAsia="Times New Roman" w:cs="Arial"/>
          <w:i/>
          <w:i/>
          <w:color w:val="000000"/>
          <w:sz w:val="22"/>
          <w:szCs w:val="22"/>
        </w:rPr>
      </w:pPr>
      <w:r>
        <w:rPr>
          <w:rFonts w:eastAsia="Times New Roman" w:cs="Arial"/>
          <w:i/>
          <w:color w:val="000000"/>
          <w:sz w:val="22"/>
          <w:szCs w:val="22"/>
        </w:rPr>
      </w:r>
    </w:p>
    <w:p>
      <w:pPr>
        <w:pStyle w:val="Normal"/>
        <w:spacing w:lineRule="auto" w:line="240"/>
        <w:jc w:val="both"/>
        <w:rPr>
          <w:rFonts w:ascii="Times New Roman" w:hAnsi="Times New Roman" w:eastAsia="Times New Roman" w:cs="Arial"/>
          <w:i/>
          <w:i/>
          <w:color w:val="000000"/>
          <w:sz w:val="22"/>
          <w:szCs w:val="22"/>
        </w:rPr>
      </w:pPr>
      <w:r>
        <w:rPr>
          <w:rFonts w:eastAsia="Times New Roman" w:cs="Arial"/>
          <w:i/>
          <w:color w:val="000000"/>
          <w:sz w:val="22"/>
          <w:szCs w:val="22"/>
        </w:rPr>
      </w:r>
    </w:p>
    <w:p>
      <w:pPr>
        <w:pStyle w:val="Normal"/>
        <w:spacing w:lineRule="auto" w:line="240"/>
        <w:jc w:val="center"/>
        <w:rPr>
          <w:rFonts w:ascii="Times New Roman" w:hAnsi="Times New Roman"/>
          <w:sz w:val="22"/>
          <w:szCs w:val="22"/>
        </w:rPr>
      </w:pPr>
      <w:r>
        <w:rPr>
          <w:rFonts w:cs="Arial"/>
          <w:b/>
          <w:bCs/>
          <w:color w:val="000000" w:themeColor="text1"/>
          <w:sz w:val="22"/>
          <w:szCs w:val="22"/>
        </w:rPr>
        <w:t>ANEXO VI</w:t>
      </w:r>
    </w:p>
    <w:p>
      <w:pPr>
        <w:pStyle w:val="Normal"/>
        <w:spacing w:lineRule="auto" w:line="240"/>
        <w:jc w:val="center"/>
        <w:rPr>
          <w:rFonts w:ascii="Times New Roman" w:hAnsi="Times New Roman"/>
          <w:sz w:val="22"/>
          <w:szCs w:val="22"/>
        </w:rPr>
      </w:pPr>
      <w:r>
        <w:rPr>
          <w:rFonts w:cs="Arial"/>
          <w:b/>
          <w:bCs/>
          <w:color w:val="000000" w:themeColor="text1"/>
          <w:sz w:val="22"/>
          <w:szCs w:val="22"/>
        </w:rPr>
        <w:t>AVISO DE DISPENSA /INEXIGIBILIDADE</w:t>
      </w:r>
    </w:p>
    <w:p>
      <w:pPr>
        <w:pStyle w:val="Normal"/>
        <w:spacing w:lineRule="auto" w:line="240"/>
        <w:jc w:val="both"/>
        <w:rPr>
          <w:rFonts w:ascii="Times New Roman" w:hAnsi="Times New Roman" w:cs="Arial"/>
          <w:b/>
          <w:b/>
          <w:bCs/>
          <w:color w:val="000000" w:themeColor="text1"/>
          <w:sz w:val="22"/>
          <w:szCs w:val="22"/>
        </w:rPr>
      </w:pPr>
      <w:r>
        <w:rPr>
          <w:rFonts w:cs="Arial"/>
          <w:b/>
          <w:bCs/>
          <w:color w:val="000000" w:themeColor="text1"/>
          <w:sz w:val="22"/>
          <w:szCs w:val="22"/>
        </w:rPr>
      </w:r>
    </w:p>
    <w:p>
      <w:pPr>
        <w:pStyle w:val="Normal"/>
        <w:spacing w:lineRule="auto" w:line="240"/>
        <w:jc w:val="left"/>
        <w:rPr>
          <w:rFonts w:ascii="Times New Roman" w:hAnsi="Times New Roman"/>
          <w:sz w:val="22"/>
          <w:szCs w:val="22"/>
        </w:rPr>
      </w:pPr>
      <w:r>
        <w:rPr>
          <w:rFonts w:cs="Arial"/>
          <w:b/>
          <w:bCs/>
          <w:color w:val="3465A4"/>
          <w:sz w:val="22"/>
          <w:szCs w:val="22"/>
          <w:shd w:fill="auto" w:val="clear"/>
        </w:rPr>
        <w:t>Dispensa n.º</w:t>
        <w:br/>
        <w:t xml:space="preserve">Processo n.º </w:t>
      </w:r>
    </w:p>
    <w:p>
      <w:pPr>
        <w:pStyle w:val="Normal"/>
        <w:spacing w:lineRule="auto" w:line="240"/>
        <w:jc w:val="both"/>
        <w:rPr>
          <w:rFonts w:ascii="Times New Roman" w:hAnsi="Times New Roman" w:cs="Arial"/>
          <w:sz w:val="22"/>
          <w:szCs w:val="22"/>
        </w:rPr>
      </w:pPr>
      <w:r>
        <w:rPr>
          <w:rFonts w:cs="Arial"/>
          <w:sz w:val="22"/>
          <w:szCs w:val="22"/>
        </w:rPr>
      </w:r>
    </w:p>
    <w:p>
      <w:pPr>
        <w:pStyle w:val="Normal"/>
        <w:snapToGrid w:val="false"/>
        <w:spacing w:lineRule="auto" w:line="240" w:before="0" w:after="120"/>
        <w:ind w:left="10" w:right="-30" w:firstLine="540"/>
        <w:jc w:val="both"/>
        <w:rPr>
          <w:rFonts w:ascii="Times New Roman" w:hAnsi="Times New Roman"/>
          <w:sz w:val="22"/>
          <w:szCs w:val="22"/>
        </w:rPr>
      </w:pPr>
      <w:r>
        <w:rPr>
          <w:rFonts w:cs="Arial"/>
          <w:color w:val="000000" w:themeColor="text1"/>
          <w:sz w:val="22"/>
          <w:szCs w:val="22"/>
        </w:rPr>
        <w:t xml:space="preserve">A Câmara Municipal de Santana da Vargem/MG, mediante a Comissão de Contratação, torna-se público, realizará Dispensa </w:t>
      </w:r>
      <w:r>
        <w:rPr>
          <w:rFonts w:cs="Arial"/>
          <w:color w:val="3465A4"/>
          <w:sz w:val="22"/>
          <w:szCs w:val="22"/>
        </w:rPr>
        <w:t>OU inexigibilidade</w:t>
      </w:r>
      <w:r>
        <w:rPr>
          <w:rFonts w:cs="Arial"/>
          <w:color w:val="000000" w:themeColor="text1"/>
          <w:sz w:val="22"/>
          <w:szCs w:val="22"/>
        </w:rPr>
        <w:t xml:space="preserve">, </w:t>
      </w:r>
      <w:r>
        <w:rPr>
          <w:rFonts w:cs="Arial"/>
          <w:bCs/>
          <w:color w:val="000000" w:themeColor="text1"/>
          <w:sz w:val="22"/>
          <w:szCs w:val="22"/>
        </w:rPr>
        <w:t>com critério de julgamento</w:t>
      </w:r>
      <w:r>
        <w:rPr>
          <w:rFonts w:cs="Arial"/>
          <w:b/>
          <w:bCs/>
          <w:color w:val="000000" w:themeColor="text1"/>
          <w:sz w:val="22"/>
          <w:szCs w:val="22"/>
          <w:shd w:fill="auto" w:val="clear"/>
        </w:rPr>
        <w:t xml:space="preserve"> </w:t>
      </w:r>
      <w:r>
        <w:rPr>
          <w:rFonts w:cs="Arial"/>
          <w:i w:val="false"/>
          <w:iCs w:val="false"/>
          <w:color w:val="3465A4"/>
          <w:sz w:val="22"/>
          <w:szCs w:val="22"/>
          <w:shd w:fill="auto" w:val="clear"/>
        </w:rPr>
        <w:t>(Nota: preço/maior desconto menor)</w:t>
      </w:r>
      <w:r>
        <w:rPr>
          <w:rFonts w:cs="Arial"/>
          <w:b/>
          <w:bCs/>
          <w:i/>
          <w:color w:val="000000"/>
          <w:sz w:val="22"/>
          <w:szCs w:val="22"/>
          <w:shd w:fill="auto" w:val="clear"/>
        </w:rPr>
        <w:t>,</w:t>
      </w:r>
      <w:r>
        <w:rPr>
          <w:rFonts w:cs="Arial"/>
          <w:b/>
          <w:bCs/>
          <w:i/>
          <w:color w:val="auto"/>
          <w:sz w:val="22"/>
          <w:szCs w:val="22"/>
        </w:rPr>
        <w:t xml:space="preserve"> </w:t>
      </w:r>
      <w:r>
        <w:rPr>
          <w:rFonts w:cs="Arial"/>
          <w:color w:val="000000" w:themeColor="text1"/>
          <w:sz w:val="22"/>
          <w:szCs w:val="22"/>
        </w:rPr>
        <w:t xml:space="preserve">na hipótese do art. </w:t>
      </w:r>
      <w:r>
        <w:rPr>
          <w:rFonts w:cs="Arial"/>
          <w:color w:val="3465A4"/>
          <w:sz w:val="22"/>
          <w:szCs w:val="22"/>
        </w:rPr>
        <w:t>XXX, inciso</w:t>
      </w:r>
      <w:r>
        <w:rPr>
          <w:rFonts w:cs="Arial"/>
          <w:bCs/>
          <w:sz w:val="22"/>
          <w:szCs w:val="22"/>
        </w:rPr>
        <w:t xml:space="preserve"> </w:t>
      </w:r>
      <w:r>
        <w:rPr>
          <w:rFonts w:cs="Arial"/>
          <w:bCs/>
          <w:color w:val="3465A4"/>
          <w:sz w:val="22"/>
          <w:szCs w:val="22"/>
        </w:rPr>
        <w:t xml:space="preserve">XXXX </w:t>
      </w:r>
      <w:r>
        <w:rPr>
          <w:rFonts w:cs="Arial"/>
          <w:bCs/>
          <w:sz w:val="22"/>
          <w:szCs w:val="22"/>
        </w:rPr>
        <w:t>nos termos da Lei nº 14.133, de 1º de abril de 2021, da Instrução Normativa da Controladoria e demais legislação aplicável</w:t>
      </w:r>
      <w:r>
        <w:rPr>
          <w:rFonts w:cs="Arial"/>
          <w:sz w:val="22"/>
          <w:szCs w:val="22"/>
        </w:rPr>
        <w:t>.</w:t>
      </w:r>
    </w:p>
    <w:p>
      <w:pPr>
        <w:pStyle w:val="Normal"/>
        <w:snapToGrid w:val="false"/>
        <w:spacing w:lineRule="auto" w:line="240" w:before="0" w:after="120"/>
        <w:ind w:left="10" w:right="-30" w:firstLine="540"/>
        <w:jc w:val="both"/>
        <w:rPr>
          <w:rFonts w:ascii="Times New Roman" w:hAnsi="Times New Roman"/>
          <w:sz w:val="22"/>
          <w:szCs w:val="22"/>
        </w:rPr>
      </w:pPr>
      <w:r>
        <w:rPr>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360" w:hanging="0"/>
              <w:jc w:val="both"/>
              <w:rPr>
                <w:rFonts w:ascii="Times New Roman" w:hAnsi="Times New Roman"/>
                <w:sz w:val="22"/>
                <w:szCs w:val="22"/>
              </w:rPr>
            </w:pPr>
            <w:r>
              <w:rPr>
                <w:b/>
                <w:bCs/>
                <w:color w:val="FFFFFF"/>
                <w:sz w:val="22"/>
                <w:szCs w:val="22"/>
                <w:shd w:fill="auto" w:val="clear"/>
              </w:rPr>
              <w:t>1. Objeto</w:t>
            </w:r>
          </w:p>
        </w:tc>
      </w:tr>
    </w:tbl>
    <w:p>
      <w:pPr>
        <w:pStyle w:val="PADRO"/>
        <w:keepNext w:val="false"/>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b/>
          <w:color w:val="000000" w:themeColor="text1"/>
          <w:sz w:val="22"/>
          <w:szCs w:val="22"/>
        </w:rPr>
        <w:t xml:space="preserve">1. </w:t>
      </w:r>
      <w:r>
        <w:rPr>
          <w:rFonts w:cs="Arial" w:ascii="Times New Roman" w:hAnsi="Times New Roman"/>
          <w:color w:val="000000" w:themeColor="text1"/>
          <w:sz w:val="22"/>
          <w:szCs w:val="22"/>
        </w:rPr>
        <w:t xml:space="preserve">O objeto da presente dispensa é a escolha da proposta mais vantajosa para a </w:t>
      </w:r>
      <w:r>
        <w:rPr>
          <w:rFonts w:cs="Arial" w:ascii="Times New Roman" w:hAnsi="Times New Roman"/>
          <w:color w:val="3465A4"/>
          <w:sz w:val="22"/>
          <w:szCs w:val="22"/>
        </w:rPr>
        <w:t>contratação/ aquisição</w:t>
      </w:r>
      <w:r>
        <w:rPr>
          <w:rFonts w:cs="Arial" w:ascii="Times New Roman" w:hAnsi="Times New Roman"/>
          <w:color w:val="000000" w:themeColor="text1"/>
          <w:sz w:val="22"/>
          <w:szCs w:val="22"/>
        </w:rPr>
        <w:t xml:space="preserve"> por dispensa de licitação.</w:t>
      </w:r>
      <w:r>
        <w:rPr>
          <w:rFonts w:cs="Arial" w:ascii="Times New Roman" w:hAnsi="Times New Roman"/>
          <w:color w:val="3465A4"/>
          <w:sz w:val="22"/>
          <w:szCs w:val="22"/>
        </w:rPr>
        <w:t>.........................................................</w:t>
      </w:r>
      <w:r>
        <w:rPr>
          <w:rFonts w:cs="Arial" w:ascii="Times New Roman" w:hAnsi="Times New Roman"/>
          <w:b/>
          <w:bCs/>
          <w:color w:val="3465A4"/>
          <w:sz w:val="22"/>
          <w:szCs w:val="22"/>
        </w:rPr>
        <w:t>,</w:t>
      </w:r>
      <w:r>
        <w:rPr>
          <w:rFonts w:cs="Arial" w:ascii="Times New Roman" w:hAnsi="Times New Roman"/>
          <w:color w:val="000000" w:themeColor="text1"/>
          <w:sz w:val="22"/>
          <w:szCs w:val="22"/>
        </w:rPr>
        <w:t xml:space="preserve"> conforme condições, quantidades e exigências estabelecidas neste Aviso de Contratação Direta e seus anexos.</w:t>
      </w:r>
    </w:p>
    <w:p>
      <w:pPr>
        <w:pStyle w:val="PADRO"/>
        <w:widowControl/>
        <w:numPr>
          <w:ilvl w:val="0"/>
          <w:numId w:val="0"/>
        </w:numPr>
        <w:shd w:val="clear" w:color="auto" w:fill="auto"/>
        <w:spacing w:lineRule="auto" w:line="240" w:before="120" w:after="120"/>
        <w:ind w:left="0" w:right="4" w:hanging="0"/>
        <w:jc w:val="both"/>
        <w:rPr>
          <w:rFonts w:ascii="Times New Roman" w:hAnsi="Times New Roman"/>
          <w:color w:val="3465A4"/>
          <w:sz w:val="22"/>
          <w:szCs w:val="22"/>
        </w:rPr>
      </w:pPr>
      <w:r>
        <w:rPr>
          <w:rFonts w:cs="Arial" w:ascii="Times New Roman" w:hAnsi="Times New Roman"/>
          <w:color w:val="3465A4"/>
          <w:sz w:val="22"/>
          <w:szCs w:val="22"/>
        </w:rPr>
        <w:t xml:space="preserve">Ou </w:t>
      </w:r>
    </w:p>
    <w:p>
      <w:pPr>
        <w:pStyle w:val="PADRO"/>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color w:val="000000" w:themeColor="text1"/>
          <w:sz w:val="22"/>
          <w:szCs w:val="22"/>
        </w:rPr>
        <w:t xml:space="preserve">1. O objeto da presente Inexigibilidade de Licitação é a contratação/aquisição de </w:t>
      </w:r>
      <w:r>
        <w:rPr>
          <w:rFonts w:cs="Arial" w:ascii="Times New Roman" w:hAnsi="Times New Roman"/>
          <w:color w:val="3465A4"/>
          <w:sz w:val="22"/>
          <w:szCs w:val="22"/>
        </w:rPr>
        <w:t>………..,</w:t>
      </w:r>
      <w:r>
        <w:rPr>
          <w:rFonts w:cs="Arial" w:ascii="Times New Roman" w:hAnsi="Times New Roman"/>
          <w:color w:val="000000" w:themeColor="text1"/>
          <w:sz w:val="22"/>
          <w:szCs w:val="22"/>
        </w:rPr>
        <w:t xml:space="preserve"> conforme condições, quantidades e exigências estabelecidas neste Aviso de Inexigibilidade e seus anexos</w:t>
      </w:r>
    </w:p>
    <w:p>
      <w:pPr>
        <w:pStyle w:val="PADRO"/>
        <w:keepNext w:val="false"/>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i w:val="false"/>
          <w:iCs w:val="false"/>
          <w:color w:val="000000"/>
          <w:sz w:val="22"/>
          <w:szCs w:val="22"/>
        </w:rPr>
        <w:t>1.1 A contratação será dividida em itens/lotes</w:t>
      </w:r>
      <w:r>
        <w:rPr>
          <w:rFonts w:cs="Arial" w:ascii="Times New Roman" w:hAnsi="Times New Roman"/>
          <w:i w:val="false"/>
          <w:iCs w:val="false"/>
          <w:color w:val="FF0000"/>
          <w:sz w:val="22"/>
          <w:szCs w:val="22"/>
        </w:rPr>
        <w:t xml:space="preserve"> </w:t>
      </w:r>
      <w:r>
        <w:rPr>
          <w:rFonts w:cs="Arial" w:ascii="Times New Roman" w:hAnsi="Times New Roman"/>
          <w:b/>
          <w:bCs/>
          <w:i w:val="false"/>
          <w:iCs w:val="false"/>
          <w:color w:val="3465A4"/>
          <w:sz w:val="22"/>
          <w:szCs w:val="22"/>
        </w:rPr>
        <w:t>ou</w:t>
      </w:r>
      <w:r>
        <w:rPr>
          <w:rFonts w:cs="Arial" w:ascii="Times New Roman" w:hAnsi="Times New Roman"/>
          <w:b/>
          <w:bCs/>
          <w:i w:val="false"/>
          <w:iCs w:val="false"/>
          <w:color w:val="FF0000"/>
          <w:sz w:val="22"/>
          <w:szCs w:val="22"/>
        </w:rPr>
        <w:t xml:space="preserve"> </w:t>
      </w:r>
      <w:r>
        <w:rPr>
          <w:rFonts w:cs="Arial" w:ascii="Times New Roman" w:hAnsi="Times New Roman"/>
          <w:i w:val="false"/>
          <w:iCs w:val="false"/>
          <w:color w:val="3465A4"/>
          <w:sz w:val="22"/>
          <w:szCs w:val="22"/>
        </w:rPr>
        <w:t>ocorrerá em item/lote único</w:t>
      </w:r>
      <w:r>
        <w:rPr>
          <w:rFonts w:cs="Arial" w:ascii="Times New Roman" w:hAnsi="Times New Roman"/>
          <w:b/>
          <w:bCs/>
          <w:i w:val="false"/>
          <w:iCs w:val="false"/>
          <w:color w:val="FF0000"/>
          <w:sz w:val="22"/>
          <w:szCs w:val="22"/>
        </w:rPr>
        <w:t>,</w:t>
      </w:r>
      <w:r>
        <w:rPr>
          <w:rFonts w:cs="Arial" w:ascii="Times New Roman" w:hAnsi="Times New Roman"/>
          <w:i w:val="false"/>
          <w:iCs w:val="false"/>
          <w:color w:val="FF0000"/>
          <w:sz w:val="22"/>
          <w:szCs w:val="22"/>
        </w:rPr>
        <w:t xml:space="preserve"> </w:t>
      </w:r>
      <w:r>
        <w:rPr>
          <w:rFonts w:cs="Arial" w:ascii="Times New Roman" w:hAnsi="Times New Roman"/>
          <w:i w:val="false"/>
          <w:iCs w:val="false"/>
          <w:color w:val="3465A4"/>
          <w:sz w:val="22"/>
          <w:szCs w:val="22"/>
        </w:rPr>
        <w:t>conforme tabela constante abaixo.</w:t>
      </w:r>
    </w:p>
    <w:tbl>
      <w:tblPr>
        <w:tblW w:w="97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31"/>
        <w:gridCol w:w="574"/>
        <w:gridCol w:w="2556"/>
        <w:gridCol w:w="917"/>
        <w:gridCol w:w="994"/>
        <w:gridCol w:w="848"/>
        <w:gridCol w:w="992"/>
        <w:gridCol w:w="1146"/>
        <w:gridCol w:w="1122"/>
      </w:tblGrid>
      <w:tr>
        <w:trPr/>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LOTE</w:t>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ITEM</w:t>
            </w:r>
          </w:p>
          <w:p>
            <w:pPr>
              <w:pStyle w:val="Normal"/>
              <w:widowControl w:val="false"/>
              <w:spacing w:lineRule="auto" w:line="240"/>
              <w:jc w:val="both"/>
              <w:rPr>
                <w:rFonts w:ascii="Times New Roman" w:hAnsi="Times New Roman" w:cs="Arial"/>
                <w:b/>
                <w:b/>
                <w:sz w:val="22"/>
                <w:szCs w:val="22"/>
              </w:rPr>
            </w:pPr>
            <w:r>
              <w:rPr>
                <w:rFonts w:cs="Arial"/>
                <w:b/>
                <w:sz w:val="22"/>
                <w:szCs w:val="22"/>
              </w:rPr>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DESCRIÇÃO/</w:t>
            </w:r>
          </w:p>
          <w:p>
            <w:pPr>
              <w:pStyle w:val="Normal"/>
              <w:widowControl w:val="false"/>
              <w:spacing w:lineRule="auto" w:line="240"/>
              <w:jc w:val="both"/>
              <w:rPr>
                <w:rFonts w:ascii="Times New Roman" w:hAnsi="Times New Roman"/>
                <w:sz w:val="22"/>
                <w:szCs w:val="22"/>
              </w:rPr>
            </w:pPr>
            <w:r>
              <w:rPr>
                <w:rFonts w:cs="Arial"/>
                <w:b/>
                <w:bCs/>
                <w:sz w:val="22"/>
                <w:szCs w:val="22"/>
              </w:rPr>
              <w:t>ESPECIFICAÇÃO</w:t>
            </w:r>
          </w:p>
        </w:tc>
        <w:tc>
          <w:tcPr>
            <w:tcW w:w="9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CATRES/</w:t>
            </w:r>
          </w:p>
          <w:p>
            <w:pPr>
              <w:pStyle w:val="Normal"/>
              <w:widowControl w:val="false"/>
              <w:spacing w:lineRule="auto" w:line="240"/>
              <w:jc w:val="both"/>
              <w:rPr>
                <w:rFonts w:ascii="Times New Roman" w:hAnsi="Times New Roman"/>
                <w:sz w:val="22"/>
                <w:szCs w:val="22"/>
              </w:rPr>
            </w:pPr>
            <w:r>
              <w:rPr>
                <w:rFonts w:cs="Arial"/>
                <w:b/>
                <w:bCs/>
                <w:sz w:val="22"/>
                <w:szCs w:val="22"/>
              </w:rPr>
              <w:t>CATMAT</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UNIDADE DE MEDIDA</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PREÇO ESTIMADO</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LOCAL DE EXECUÇÃO</w:t>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sz w:val="22"/>
                <w:szCs w:val="22"/>
              </w:rPr>
            </w:pPr>
            <w:r>
              <w:rPr>
                <w:rFonts w:cs="Arial"/>
                <w:b/>
                <w:bCs/>
                <w:sz w:val="22"/>
                <w:szCs w:val="22"/>
              </w:rPr>
              <w:t>PRAZO DE EXECUÇÃO</w:t>
            </w:r>
          </w:p>
        </w:tc>
      </w:tr>
      <w:tr>
        <w:trPr/>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b/>
                <w:b/>
                <w:sz w:val="22"/>
                <w:szCs w:val="22"/>
              </w:rPr>
            </w:pPr>
            <w:r>
              <w:rPr>
                <w:rFonts w:cs="Arial"/>
                <w:b/>
                <w:sz w:val="22"/>
                <w:szCs w:val="22"/>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sz w:val="22"/>
                <w:szCs w:val="22"/>
              </w:rPr>
            </w:pPr>
            <w:r>
              <w:rPr>
                <w:rFonts w:cs="Arial"/>
                <w:b/>
                <w:sz w:val="22"/>
                <w:szCs w:val="22"/>
              </w:rPr>
              <w:t>1</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r>
      <w:tr>
        <w:trPr/>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b/>
                <w:b/>
                <w:sz w:val="22"/>
                <w:szCs w:val="22"/>
              </w:rPr>
            </w:pPr>
            <w:r>
              <w:rPr>
                <w:rFonts w:cs="Arial"/>
                <w:b/>
                <w:sz w:val="22"/>
                <w:szCs w:val="22"/>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sz w:val="22"/>
                <w:szCs w:val="22"/>
              </w:rPr>
            </w:pPr>
            <w:r>
              <w:rPr>
                <w:rFonts w:cs="Arial"/>
                <w:b/>
                <w:sz w:val="22"/>
                <w:szCs w:val="22"/>
              </w:rPr>
              <w:t>2</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r>
      <w:tr>
        <w:trPr/>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b/>
                <w:b/>
                <w:sz w:val="22"/>
                <w:szCs w:val="22"/>
              </w:rPr>
            </w:pPr>
            <w:r>
              <w:rPr>
                <w:rFonts w:cs="Arial"/>
                <w:b/>
                <w:sz w:val="22"/>
                <w:szCs w:val="22"/>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sz w:val="22"/>
                <w:szCs w:val="22"/>
              </w:rPr>
            </w:pPr>
            <w:r>
              <w:rPr>
                <w:rFonts w:cs="Arial"/>
                <w:b/>
                <w:sz w:val="22"/>
                <w:szCs w:val="22"/>
              </w:rPr>
              <w:t>3</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jc w:val="both"/>
              <w:rPr>
                <w:rFonts w:ascii="Times New Roman" w:hAnsi="Times New Roman" w:cs="Arial"/>
                <w:sz w:val="22"/>
                <w:szCs w:val="22"/>
              </w:rPr>
            </w:pPr>
            <w:r>
              <w:rPr>
                <w:rFonts w:cs="Arial"/>
                <w:sz w:val="22"/>
                <w:szCs w:val="22"/>
              </w:rPr>
            </w:r>
          </w:p>
        </w:tc>
      </w:tr>
    </w:tbl>
    <w:p>
      <w:pPr>
        <w:pStyle w:val="PADRO"/>
        <w:keepNext w:val="false"/>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b/>
          <w:bCs/>
          <w:sz w:val="22"/>
          <w:szCs w:val="22"/>
        </w:rPr>
        <w:t xml:space="preserve">TOTAL </w:t>
        <w:tab/>
        <w:tab/>
        <w:tab/>
        <w:tab/>
        <w:tab/>
        <w:tab/>
        <w:tab/>
        <w:tab/>
      </w:r>
      <w:r>
        <w:rPr>
          <w:rFonts w:cs="Arial" w:ascii="Times New Roman" w:hAnsi="Times New Roman"/>
          <w:b/>
          <w:bCs/>
          <w:color w:val="3465A4"/>
          <w:sz w:val="22"/>
          <w:szCs w:val="22"/>
        </w:rPr>
        <w:t>R$__________</w:t>
      </w:r>
    </w:p>
    <w:p>
      <w:pPr>
        <w:pStyle w:val="PADRO"/>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color w:val="3465A4"/>
          <w:sz w:val="22"/>
          <w:szCs w:val="22"/>
        </w:rPr>
        <w:t>1.2 Havendo mais de item ou lote faculta-se ao fornecedor a participação em quantos forem de seu interesse. Entretanto, optando-se por participar de um lote, deve o fornecedor enviar proposta para todos os itens que o compõem.</w:t>
      </w:r>
    </w:p>
    <w:p>
      <w:pPr>
        <w:pStyle w:val="PADRO"/>
        <w:keepNext w:val="false"/>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sz w:val="22"/>
          <w:szCs w:val="22"/>
        </w:rPr>
        <w:t xml:space="preserve">1.3 </w:t>
      </w:r>
      <w:r>
        <w:rPr>
          <w:rFonts w:cs="Arial" w:ascii="Times New Roman" w:hAnsi="Times New Roman"/>
          <w:color w:val="3465A4"/>
          <w:sz w:val="22"/>
          <w:szCs w:val="22"/>
        </w:rPr>
        <w:t xml:space="preserve">Nota para Dispensa: </w:t>
      </w:r>
      <w:r>
        <w:rPr>
          <w:rFonts w:cs="Arial" w:ascii="Times New Roman" w:hAnsi="Times New Roman"/>
          <w:sz w:val="22"/>
          <w:szCs w:val="22"/>
        </w:rPr>
        <w:t>O critério de julgamento adotado será o</w:t>
      </w:r>
      <w:r>
        <w:rPr>
          <w:rFonts w:cs="Arial" w:ascii="Times New Roman" w:hAnsi="Times New Roman"/>
          <w:i/>
          <w:iCs/>
          <w:sz w:val="22"/>
          <w:szCs w:val="22"/>
        </w:rPr>
        <w:t xml:space="preserve"> </w:t>
      </w:r>
      <w:r>
        <w:rPr>
          <w:rFonts w:cs="Arial" w:ascii="Times New Roman" w:hAnsi="Times New Roman"/>
          <w:iCs/>
          <w:color w:val="3465A4"/>
          <w:sz w:val="22"/>
          <w:szCs w:val="22"/>
          <w:shd w:fill="auto" w:val="clear"/>
        </w:rPr>
        <w:t>menor preço/maior desconto</w:t>
      </w:r>
      <w:r>
        <w:rPr>
          <w:rFonts w:cs="Arial" w:ascii="Times New Roman" w:hAnsi="Times New Roman"/>
          <w:i/>
          <w:iCs/>
          <w:sz w:val="22"/>
          <w:szCs w:val="22"/>
        </w:rPr>
        <w:t>,</w:t>
      </w:r>
      <w:r>
        <w:rPr>
          <w:rFonts w:cs="Arial" w:ascii="Times New Roman" w:hAnsi="Times New Roman"/>
          <w:sz w:val="22"/>
          <w:szCs w:val="22"/>
        </w:rPr>
        <w:t xml:space="preserve"> observadas as exigências contidas neste Aviso de Contratação Direta e seus Anexos quanto às especificações do objeto.</w:t>
      </w:r>
    </w:p>
    <w:p>
      <w:pPr>
        <w:pStyle w:val="PADRO"/>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ascii="Times New Roman" w:hAnsi="Times New Roman"/>
          <w:sz w:val="22"/>
          <w:szCs w:val="22"/>
        </w:rPr>
        <w:t xml:space="preserve">Ou </w:t>
      </w:r>
    </w:p>
    <w:p>
      <w:pPr>
        <w:pStyle w:val="PADRO"/>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ascii="Times New Roman" w:hAnsi="Times New Roman"/>
          <w:sz w:val="22"/>
          <w:szCs w:val="22"/>
        </w:rPr>
        <w:t xml:space="preserve">1.3 </w:t>
      </w:r>
      <w:r>
        <w:rPr>
          <w:rFonts w:ascii="Times New Roman" w:hAnsi="Times New Roman"/>
          <w:color w:val="3465A4"/>
          <w:sz w:val="22"/>
          <w:szCs w:val="22"/>
        </w:rPr>
        <w:t>Nota: Para Inexigibilidade</w:t>
      </w:r>
      <w:r>
        <w:rPr>
          <w:rFonts w:ascii="Times New Roman" w:hAnsi="Times New Roman"/>
          <w:sz w:val="22"/>
          <w:szCs w:val="22"/>
        </w:rPr>
        <w:t xml:space="preserve">, o critério de julgamento adotado foi </w:t>
      </w:r>
      <w:r>
        <w:rPr>
          <w:rFonts w:ascii="Times New Roman" w:hAnsi="Times New Roman"/>
          <w:color w:val="3465A4"/>
          <w:sz w:val="22"/>
          <w:szCs w:val="22"/>
        </w:rPr>
        <w:t>……….</w:t>
      </w:r>
    </w:p>
    <w:p>
      <w:pPr>
        <w:pStyle w:val="PADRO"/>
        <w:widowControl/>
        <w:numPr>
          <w:ilvl w:val="0"/>
          <w:numId w:val="0"/>
        </w:numPr>
        <w:shd w:val="clear" w:color="auto" w:fill="auto"/>
        <w:spacing w:lineRule="auto" w:line="240" w:before="120" w:after="120"/>
        <w:ind w:left="0" w:right="4" w:hanging="0"/>
        <w:jc w:val="both"/>
        <w:rPr>
          <w:rFonts w:ascii="Times New Roman" w:hAnsi="Times New Roman"/>
          <w:sz w:val="22"/>
          <w:szCs w:val="22"/>
        </w:rPr>
      </w:pPr>
      <w:r>
        <w:rPr>
          <w:rFonts w:cs="Arial" w:ascii="Times New Roman" w:hAnsi="Times New Roman"/>
          <w:sz w:val="22"/>
          <w:szCs w:val="22"/>
        </w:rPr>
        <w:t xml:space="preserve">1.4 Dotação orçamentária: </w:t>
      </w:r>
      <w:r>
        <w:rPr>
          <w:rFonts w:cs="Arial" w:ascii="Times New Roman" w:hAnsi="Times New Roman"/>
          <w:color w:val="3465A4"/>
          <w:sz w:val="22"/>
          <w:szCs w:val="22"/>
        </w:rPr>
        <w:t>XXXXXXX</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2. Da Participação</w:t>
            </w:r>
          </w:p>
        </w:tc>
      </w:tr>
    </w:tbl>
    <w:p>
      <w:pPr>
        <w:pStyle w:val="Normal"/>
        <w:widowControl/>
        <w:numPr>
          <w:ilvl w:val="0"/>
          <w:numId w:val="0"/>
        </w:numPr>
        <w:suppressAutoHyphens w:val="false"/>
        <w:snapToGrid w:val="false"/>
        <w:spacing w:lineRule="auto" w:line="240" w:before="120" w:after="120"/>
        <w:ind w:left="0" w:right="0" w:hanging="0"/>
        <w:jc w:val="both"/>
        <w:textAlignment w:val="auto"/>
        <w:rPr>
          <w:rFonts w:ascii="Times New Roman" w:hAnsi="Times New Roman"/>
          <w:sz w:val="22"/>
          <w:szCs w:val="22"/>
        </w:rPr>
      </w:pPr>
      <w:r>
        <w:rPr>
          <w:rFonts w:cs="Arial"/>
          <w:b w:val="false"/>
          <w:bCs w:val="false"/>
          <w:sz w:val="22"/>
          <w:szCs w:val="22"/>
        </w:rPr>
        <w:t>2.1</w:t>
      </w:r>
      <w:r>
        <w:rPr>
          <w:rFonts w:cs="Arial"/>
          <w:b/>
          <w:sz w:val="22"/>
          <w:szCs w:val="22"/>
        </w:rPr>
        <w:t xml:space="preserve"> </w:t>
      </w:r>
      <w:r>
        <w:rPr>
          <w:rFonts w:cs="Arial"/>
          <w:sz w:val="22"/>
          <w:szCs w:val="22"/>
        </w:rPr>
        <w:t xml:space="preserve">A participação na contratação/aquisição se dará mediante envio de proposta para o e-mail </w:t>
      </w:r>
      <w:r>
        <w:rPr>
          <w:rFonts w:cs="Arial"/>
          <w:color w:val="3465A4"/>
          <w:sz w:val="22"/>
          <w:szCs w:val="22"/>
        </w:rPr>
        <w:t>XXXXXXXX</w:t>
      </w:r>
      <w:r>
        <w:rPr>
          <w:rFonts w:cs="Arial"/>
          <w:sz w:val="22"/>
          <w:szCs w:val="22"/>
        </w:rPr>
        <w:t>, ou protocolada na sede da Câmara Municipal de Santana da Vargem/Mg no endereço Praça Prefeito Hernani Pereira Scatolino, n.º 50, Centro, Santana da Vargem/MG.</w:t>
      </w:r>
    </w:p>
    <w:p>
      <w:pPr>
        <w:pStyle w:val="Normal"/>
        <w:widowControl/>
        <w:numPr>
          <w:ilvl w:val="0"/>
          <w:numId w:val="0"/>
        </w:numPr>
        <w:suppressAutoHyphens w:val="false"/>
        <w:snapToGrid w:val="false"/>
        <w:spacing w:lineRule="auto" w:line="240" w:before="120" w:after="120"/>
        <w:ind w:left="0" w:right="0" w:hanging="0"/>
        <w:jc w:val="both"/>
        <w:textAlignment w:val="auto"/>
        <w:rPr>
          <w:rFonts w:ascii="Times New Roman" w:hAnsi="Times New Roman"/>
          <w:sz w:val="22"/>
          <w:szCs w:val="22"/>
        </w:rPr>
      </w:pPr>
      <w:r>
        <w:rPr>
          <w:rFonts w:cs="Arial"/>
          <w:sz w:val="22"/>
          <w:szCs w:val="22"/>
        </w:rPr>
        <w:t>2.2 O fornecedor é o responsável por documentos enviados por correspondência, ou e-mail não cabendo à Câmara Municipal a responsabilidade por eventuais desvios da correspondência ou retorno de e-mail.</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color w:val="000000" w:themeColor="text1"/>
          <w:sz w:val="22"/>
          <w:szCs w:val="22"/>
        </w:rPr>
        <w:t>2.3 Não poderão participar desta dispensa/inexigibilidade os fornecedores: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color w:val="000000" w:themeColor="text1"/>
          <w:sz w:val="22"/>
          <w:szCs w:val="22"/>
        </w:rPr>
        <w:t>2.3.1 que não atendam às condições deste Aviso de Contratação e seu(s) anexo(s);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color w:val="000000" w:themeColor="text1"/>
          <w:sz w:val="22"/>
          <w:szCs w:val="22"/>
        </w:rPr>
        <w:t>2.3.2 estrangeiros que não tenham representação legal no Brasil com poderes expressos para receber citação e responder administrativa ou judicialmente;</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color w:val="000000" w:themeColor="text1"/>
          <w:sz w:val="22"/>
          <w:szCs w:val="22"/>
        </w:rPr>
        <w:t>2.3.3 que se enquadrem nas seguintes vedações: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sz w:val="22"/>
          <w:szCs w:val="22"/>
        </w:rPr>
        <w:t>2.3.4 autor do anteprojeto, do projeto básico ou do projeto executivo, pessoa física ou jurídica, quando a contratação versar sobre obra, serviços ou fornecimento de bens a ele relacionados;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sz w:val="22"/>
          <w:szCs w:val="22"/>
        </w:rPr>
        <w:t>2.3.5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sz w:val="22"/>
          <w:szCs w:val="22"/>
        </w:rPr>
        <w:t>2.3.6 pessoa física ou jurídica que se encontre, ao tempo da contratação, impossibilitada de contratar em decorrência de sanção que lhe foi imposta;</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sz w:val="22"/>
          <w:szCs w:val="22"/>
        </w:rPr>
        <w:t>2.3.7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numPr>
          <w:ilvl w:val="0"/>
          <w:numId w:val="0"/>
        </w:numPr>
        <w:suppressAutoHyphens w:val="false"/>
        <w:spacing w:lineRule="auto" w:line="240" w:before="120" w:after="120"/>
        <w:ind w:left="0" w:right="0" w:hanging="0"/>
        <w:jc w:val="both"/>
        <w:textAlignment w:val="auto"/>
        <w:rPr/>
      </w:pPr>
      <w:r>
        <w:rPr>
          <w:rFonts w:cs="Arial"/>
          <w:sz w:val="22"/>
          <w:szCs w:val="22"/>
        </w:rPr>
        <w:t xml:space="preserve">2.3.8 empresas controladoras, controladas ou coligadas, nos termos da </w:t>
      </w:r>
      <w:hyperlink r:id="rId5">
        <w:r>
          <w:rPr>
            <w:rStyle w:val="LinkdaInternet"/>
            <w:rFonts w:eastAsia="Calibri" w:cs="Arial"/>
            <w:sz w:val="22"/>
            <w:szCs w:val="22"/>
          </w:rPr>
          <w:t>Lei nº 6.404, de 15 de dezembro de 1976</w:t>
        </w:r>
      </w:hyperlink>
      <w:r>
        <w:rPr>
          <w:rFonts w:cs="Arial"/>
          <w:sz w:val="22"/>
          <w:szCs w:val="22"/>
        </w:rPr>
        <w:t>, concorrendo entre si;</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sz w:val="22"/>
          <w:szCs w:val="22"/>
        </w:rPr>
        <w:t>2.3.9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sz w:val="22"/>
          <w:szCs w:val="22"/>
        </w:rPr>
        <w:t>2.3.10 Equiparam-se aos autores do projeto as empresas integrantes do mesmo grupo econômico;</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i w:val="false"/>
          <w:iCs w:val="false"/>
          <w:sz w:val="22"/>
          <w:szCs w:val="22"/>
          <w:shd w:fill="auto" w:val="clear"/>
        </w:rPr>
        <w:t xml:space="preserve">2.3.11 </w:t>
      </w:r>
      <w:r>
        <w:rPr>
          <w:rFonts w:cs="Arial"/>
          <w:i w:val="false"/>
          <w:iCs w:val="false"/>
          <w:color w:val="000000"/>
          <w:sz w:val="22"/>
          <w:szCs w:val="22"/>
          <w:shd w:fill="auto" w:val="clear"/>
        </w:rPr>
        <w:t>Será permitida a participação de cooperativas, desde que apresentem demonstrativo de atuação em regime cooperado, com repartição de receitas e despesas entre os cooperados e atendam ao art. 16 da Lei nº 14.133/21.</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cs="Arial"/>
          <w:i w:val="false"/>
          <w:iCs w:val="false"/>
          <w:color w:val="000000"/>
          <w:sz w:val="22"/>
          <w:szCs w:val="22"/>
          <w:shd w:fill="auto" w:val="clear"/>
        </w:rPr>
        <w:t>2.3.11.1Em sendo permitida a participação de cooperativas, serão estendidas a elas os benefícios previstos para as microempresas e empresas de pequeno porte quando elas atenderem ao disposto no art. 34 da Lei nº 11.488, de 15 de junho de 2007.</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3. Da participação do fornecedor</w:t>
            </w:r>
          </w:p>
        </w:tc>
      </w:tr>
    </w:tbl>
    <w:p>
      <w:pPr>
        <w:pStyle w:val="Normal"/>
        <w:widowControl/>
        <w:numPr>
          <w:ilvl w:val="0"/>
          <w:numId w:val="0"/>
        </w:numPr>
        <w:suppressAutoHyphens w:val="false"/>
        <w:snapToGrid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3.1 O ingresso do fornecedor na disputa da dispensa / inexigibilidade se dará com o cadastramento de sua proposta inicial, na forma deste item.</w:t>
      </w:r>
    </w:p>
    <w:p>
      <w:pPr>
        <w:pStyle w:val="Normal"/>
        <w:widowControl/>
        <w:numPr>
          <w:ilvl w:val="0"/>
          <w:numId w:val="0"/>
        </w:numPr>
        <w:suppressAutoHyphens w:val="false"/>
        <w:snapToGrid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3.2 O fornecedor interessado, após a divulgação do aviso de contratação/ Inexigibilidade, encaminhará, exclusivamente por meio do e-mail XXXXXX ou protocolo na sede da Câmara Municipal a sua proposta com a descrição do objeto ofertado, a marca do produto, quando for o caso, e o preço, até a data e o horário estabelecidos para abertura do procedimento.</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3.3 A proposta também deverá conter declaração de que compreende a integralidade dos custos para atendimento dos direitos trabalhistas assegurados na Constituição Federal, nas leis trabalhistas, nas normas infralegais, nas convenções coletivas de trabalho na data de entrega das propostas.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3.4 Todas as especificações do objeto contidas na proposta, em especial o preço, vinculam a Contratada.</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3.5 Nos valores propostos estarão inclusos todos os custos operacionais, encargos previdenciários, trabalhistas, tributários, comerciais e quaisquer outros que incidam direta ou indiretamente na prestação dos serviços;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3.6 Os preços ofertados, tanto na proposta inicial, serão de exclusiva responsabilidade do fornecedor, não lhe assistindo o direito de pleitear qualquer alteração, sob alegação de erro, omissão ou qualquer outro pretexto.</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3.7 Se o regime tributário da empresa implicar o recolhimento de tributos em percentuais variáveis, a cotação adequada será a que corresponde à média dos efetivos recolhimentos da empresa nos últimos doze meses. </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3.8 Independentemente do percentual de tributo inserido na planilha, no pagamento serão retidos na fonte os percentuais estabelecidos na legislação vigente.</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3.9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3.10 Uma vez enviada a proposta por e-mail ou protocolada na sede da Câmara Municipal, os fornecedores </w:t>
      </w:r>
      <w:r>
        <w:rPr>
          <w:rFonts w:eastAsia="Times New Roman" w:cs="Arial"/>
          <w:b/>
          <w:bCs/>
          <w:i w:val="false"/>
          <w:iCs w:val="false"/>
          <w:color w:val="000000"/>
          <w:kern w:val="0"/>
          <w:sz w:val="22"/>
          <w:szCs w:val="22"/>
          <w:shd w:fill="auto" w:val="clear"/>
          <w:lang w:val="pt-BR" w:eastAsia="en-US" w:bidi="ar-SA"/>
        </w:rPr>
        <w:t>NÃO</w:t>
      </w:r>
      <w:r>
        <w:rPr>
          <w:rFonts w:eastAsia="Times New Roman" w:cs="Arial"/>
          <w:i w:val="false"/>
          <w:iCs w:val="false"/>
          <w:color w:val="000000"/>
          <w:kern w:val="0"/>
          <w:sz w:val="22"/>
          <w:szCs w:val="22"/>
          <w:shd w:fill="auto" w:val="clear"/>
          <w:lang w:val="pt-BR" w:eastAsia="en-US" w:bidi="ar-SA"/>
        </w:rPr>
        <w:t xml:space="preserve"> poderão retirá-la, substituí-la ou modificá-la; deve ser ajustada.</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3.11O fornecedor vencedor, deverá apresentar as seguintes declarações: </w:t>
      </w:r>
    </w:p>
    <w:p>
      <w:pPr>
        <w:pStyle w:val="ListParagraph"/>
        <w:numPr>
          <w:ilvl w:val="0"/>
          <w:numId w:val="2"/>
        </w:numPr>
        <w:tabs>
          <w:tab w:val="clear" w:pos="720"/>
          <w:tab w:val="left" w:pos="1440" w:leader="none"/>
        </w:tabs>
        <w:snapToGrid w:val="false"/>
        <w:spacing w:lineRule="auto" w:line="240" w:before="120" w:after="120"/>
        <w:ind w:left="0" w:right="0" w:hanging="0"/>
        <w:contextualSpacing/>
        <w:jc w:val="both"/>
        <w:rPr>
          <w:rFonts w:ascii="Times New Roman" w:hAnsi="Times New Roman" w:eastAsia="Times New Roman" w:cs="Arial"/>
          <w:bCs/>
          <w:i w:val="false"/>
          <w:i w:val="false"/>
          <w:iCs w:val="false"/>
          <w:vanish/>
          <w:color w:val="000000"/>
          <w:kern w:val="0"/>
          <w:sz w:val="22"/>
          <w:szCs w:val="22"/>
          <w:shd w:fill="auto" w:val="clear"/>
          <w:lang w:val="pt-BR" w:eastAsia="en-US" w:bidi="ar-SA"/>
        </w:rPr>
      </w:pPr>
      <w:r>
        <w:rPr>
          <w:rFonts w:eastAsia="Times New Roman" w:cs="Arial"/>
          <w:bCs/>
          <w:i w:val="false"/>
          <w:iCs w:val="false"/>
          <w:vanish/>
          <w:color w:val="000000"/>
          <w:kern w:val="0"/>
          <w:sz w:val="22"/>
          <w:szCs w:val="22"/>
          <w:shd w:fill="auto" w:val="clear"/>
          <w:lang w:val="pt-BR" w:eastAsia="en-US" w:bidi="ar-SA"/>
        </w:rPr>
      </w:r>
    </w:p>
    <w:p>
      <w:pPr>
        <w:pStyle w:val="ListParagraph"/>
        <w:numPr>
          <w:ilvl w:val="1"/>
          <w:numId w:val="2"/>
        </w:numPr>
        <w:tabs>
          <w:tab w:val="clear" w:pos="720"/>
          <w:tab w:val="left" w:pos="1440" w:leader="none"/>
        </w:tabs>
        <w:snapToGrid w:val="false"/>
        <w:spacing w:lineRule="auto" w:line="240" w:before="120" w:after="120"/>
        <w:ind w:left="0" w:right="0" w:hanging="0"/>
        <w:contextualSpacing/>
        <w:jc w:val="both"/>
        <w:rPr>
          <w:rFonts w:ascii="Times New Roman" w:hAnsi="Times New Roman" w:eastAsia="Times New Roman" w:cs="Arial"/>
          <w:bCs/>
          <w:i w:val="false"/>
          <w:i w:val="false"/>
          <w:iCs w:val="false"/>
          <w:vanish/>
          <w:color w:val="000000"/>
          <w:kern w:val="0"/>
          <w:sz w:val="22"/>
          <w:szCs w:val="22"/>
          <w:shd w:fill="auto" w:val="clear"/>
          <w:lang w:val="pt-BR" w:eastAsia="en-US" w:bidi="ar-SA"/>
        </w:rPr>
      </w:pPr>
      <w:r>
        <w:rPr>
          <w:rFonts w:eastAsia="Times New Roman" w:cs="Arial"/>
          <w:bCs/>
          <w:i w:val="false"/>
          <w:iCs w:val="false"/>
          <w:vanish/>
          <w:color w:val="000000"/>
          <w:kern w:val="0"/>
          <w:sz w:val="22"/>
          <w:szCs w:val="22"/>
          <w:shd w:fill="auto" w:val="clear"/>
          <w:lang w:val="pt-BR" w:eastAsia="en-US" w:bidi="ar-SA"/>
        </w:rPr>
      </w:r>
    </w:p>
    <w:p>
      <w:pPr>
        <w:pStyle w:val="ListParagraph"/>
        <w:numPr>
          <w:ilvl w:val="1"/>
          <w:numId w:val="2"/>
        </w:numPr>
        <w:tabs>
          <w:tab w:val="clear" w:pos="720"/>
          <w:tab w:val="left" w:pos="1440" w:leader="none"/>
        </w:tabs>
        <w:snapToGrid w:val="false"/>
        <w:spacing w:lineRule="auto" w:line="240" w:before="120" w:after="120"/>
        <w:ind w:left="0" w:right="0" w:hanging="0"/>
        <w:contextualSpacing/>
        <w:jc w:val="both"/>
        <w:rPr>
          <w:rFonts w:ascii="Times New Roman" w:hAnsi="Times New Roman" w:eastAsia="Times New Roman" w:cs="Arial"/>
          <w:bCs/>
          <w:i w:val="false"/>
          <w:i w:val="false"/>
          <w:iCs w:val="false"/>
          <w:vanish/>
          <w:color w:val="000000"/>
          <w:kern w:val="0"/>
          <w:sz w:val="22"/>
          <w:szCs w:val="22"/>
          <w:shd w:fill="auto" w:val="clear"/>
          <w:lang w:val="pt-BR" w:eastAsia="en-US" w:bidi="ar-SA"/>
        </w:rPr>
      </w:pPr>
      <w:r>
        <w:rPr>
          <w:rFonts w:eastAsia="Times New Roman" w:cs="Arial"/>
          <w:bCs/>
          <w:i w:val="false"/>
          <w:iCs w:val="false"/>
          <w:vanish/>
          <w:color w:val="000000"/>
          <w:kern w:val="0"/>
          <w:sz w:val="22"/>
          <w:szCs w:val="22"/>
          <w:shd w:fill="auto" w:val="clear"/>
          <w:lang w:val="pt-BR" w:eastAsia="en-US" w:bidi="ar-SA"/>
        </w:rPr>
      </w:r>
    </w:p>
    <w:p>
      <w:pPr>
        <w:pStyle w:val="ListParagraph"/>
        <w:numPr>
          <w:ilvl w:val="1"/>
          <w:numId w:val="2"/>
        </w:numPr>
        <w:tabs>
          <w:tab w:val="clear" w:pos="720"/>
          <w:tab w:val="left" w:pos="1440" w:leader="none"/>
        </w:tabs>
        <w:snapToGrid w:val="false"/>
        <w:spacing w:lineRule="auto" w:line="240" w:before="120" w:after="120"/>
        <w:ind w:left="0" w:right="0" w:hanging="0"/>
        <w:contextualSpacing/>
        <w:jc w:val="both"/>
        <w:rPr>
          <w:rFonts w:ascii="Times New Roman" w:hAnsi="Times New Roman" w:eastAsia="Times New Roman" w:cs="Arial"/>
          <w:bCs/>
          <w:i w:val="false"/>
          <w:i w:val="false"/>
          <w:iCs w:val="false"/>
          <w:vanish/>
          <w:color w:val="000000"/>
          <w:kern w:val="0"/>
          <w:sz w:val="22"/>
          <w:szCs w:val="22"/>
          <w:shd w:fill="auto" w:val="clear"/>
          <w:lang w:val="pt-BR" w:eastAsia="en-US" w:bidi="ar-SA"/>
        </w:rPr>
      </w:pPr>
      <w:r>
        <w:rPr>
          <w:rFonts w:eastAsia="Times New Roman" w:cs="Arial"/>
          <w:bCs/>
          <w:i w:val="false"/>
          <w:iCs w:val="false"/>
          <w:vanish/>
          <w:color w:val="000000"/>
          <w:kern w:val="0"/>
          <w:sz w:val="22"/>
          <w:szCs w:val="22"/>
          <w:shd w:fill="auto" w:val="clear"/>
          <w:lang w:val="pt-BR" w:eastAsia="en-US" w:bidi="ar-SA"/>
        </w:rPr>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3.11.1.que inexistem fatos impeditivos para sua habilitação no certame, ciente da obrigatoriedade de declarar ocorrências posteriores;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3.11.2 que cumpre os requisitos estabelecidos no artigo 3° da Lei Complementar nº 123, de 2006, estando apto a usufruir do tratamento favorecido estabelecido em seus arts. 42 a 49.</w:t>
      </w:r>
    </w:p>
    <w:p>
      <w:pPr>
        <w:pStyle w:val="Normal"/>
        <w:widowControl/>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3.11.3 Se for o caso, que se enquadra no tratamento favorecido previsto na Lei Complementar nº 123, de 2006, </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3.11.4 que está ciente e concorda com as condições contidas no Aviso de Contratação e seus anexos;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3.11.5 que assume a responsabilidade pelas transações que forem efetuadas no sistema, assumindo como firmes e verdadeiras;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3.11.6 que não emprega menor de 18 anos em trabalho noturno, perigoso ou insalubre e não emprega menor de 16 anos, salvo menor, a partir de 14 anos, na condição de aprendiz, nos termos do artigo 7°, XXXIII, da Constituição;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4. Julgamento das Propostas de Preço -</w:t>
            </w:r>
          </w:p>
        </w:tc>
      </w:tr>
    </w:tbl>
    <w:p>
      <w:pPr>
        <w:pStyle w:val="ListParagraph"/>
        <w:numPr>
          <w:ilvl w:val="0"/>
          <w:numId w:val="0"/>
        </w:numPr>
        <w:spacing w:lineRule="auto" w:line="240" w:before="120" w:after="120"/>
        <w:ind w:left="0" w:right="0" w:hanging="0"/>
        <w:contextualSpacing/>
        <w:jc w:val="both"/>
        <w:rPr>
          <w:rFonts w:ascii="Times New Roman" w:hAnsi="Times New Roman"/>
          <w:color w:val="3465A4"/>
          <w:sz w:val="22"/>
          <w:szCs w:val="22"/>
        </w:rPr>
      </w:pPr>
      <w:r>
        <w:rPr>
          <w:rFonts w:eastAsia="Times New Roman" w:cs="Arial"/>
          <w:i w:val="false"/>
          <w:iCs w:val="false"/>
          <w:color w:val="3465A4"/>
          <w:kern w:val="0"/>
          <w:sz w:val="22"/>
          <w:szCs w:val="22"/>
          <w:shd w:fill="auto" w:val="clear"/>
          <w:lang w:val="pt-BR" w:eastAsia="en-US" w:bidi="ar-SA"/>
        </w:rPr>
        <w:t>Nota: Apenas para Dispensa</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4.1 Encerrada a fase recebimento das propostas será verificada a conformidade da proposta classificada em primeiro lugar quanto à adequação do objeto e à compatibilidade do preço em relação ao estipulado para a contratação.</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4.2 No caso de o preço da proposta vencedora estar acima do estimado pela Administração, poderá haver a negociação de condições mais vantajosas.</w:t>
      </w:r>
    </w:p>
    <w:p>
      <w:pPr>
        <w:pStyle w:val="ListParagraph"/>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4.3 Neste caso, será encaminhada contraproposta ao fornecedor que tenha apresentado o melhor preço, para que seja obtida melhor proposta com preço compatível ao estimado pela Administração.</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4.4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pPr>
        <w:pStyle w:val="ListParagraph"/>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4.5 Estando o preço compatível, será solicitado o envio dos documentos complementares.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4.6 O prazo de validade da proposta não será inferior a </w:t>
      </w:r>
      <w:r>
        <w:rPr>
          <w:rFonts w:eastAsia="Times New Roman" w:cs="Arial"/>
          <w:i w:val="false"/>
          <w:iCs w:val="false"/>
          <w:color w:val="3465A4"/>
          <w:kern w:val="0"/>
          <w:sz w:val="22"/>
          <w:szCs w:val="22"/>
          <w:shd w:fill="auto" w:val="clear"/>
          <w:lang w:val="pt-BR" w:eastAsia="en-US" w:bidi="ar-SA"/>
        </w:rPr>
        <w:t>60 (sessenta)</w:t>
      </w:r>
      <w:r>
        <w:rPr>
          <w:rFonts w:eastAsia="Times New Roman" w:cs="Arial"/>
          <w:i w:val="false"/>
          <w:iCs w:val="false"/>
          <w:color w:val="000000"/>
          <w:kern w:val="0"/>
          <w:sz w:val="22"/>
          <w:szCs w:val="22"/>
          <w:shd w:fill="auto" w:val="clear"/>
          <w:lang w:val="pt-BR" w:eastAsia="en-US" w:bidi="ar-SA"/>
        </w:rPr>
        <w:t xml:space="preserve"> dias</w:t>
      </w:r>
      <w:r>
        <w:rPr>
          <w:rFonts w:eastAsia="Times New Roman" w:cs="Arial"/>
          <w:b/>
          <w:bCs/>
          <w:i w:val="false"/>
          <w:iCs w:val="false"/>
          <w:color w:val="000000"/>
          <w:kern w:val="0"/>
          <w:sz w:val="22"/>
          <w:szCs w:val="22"/>
          <w:shd w:fill="auto" w:val="clear"/>
          <w:lang w:val="pt-BR" w:eastAsia="en-US" w:bidi="ar-SA"/>
        </w:rPr>
        <w:t>,</w:t>
      </w:r>
      <w:r>
        <w:rPr>
          <w:rFonts w:eastAsia="Times New Roman" w:cs="Arial"/>
          <w:i w:val="false"/>
          <w:iCs w:val="false"/>
          <w:color w:val="000000"/>
          <w:kern w:val="0"/>
          <w:sz w:val="22"/>
          <w:szCs w:val="22"/>
          <w:shd w:fill="auto" w:val="clear"/>
          <w:lang w:val="pt-BR" w:eastAsia="en-US" w:bidi="ar-SA"/>
        </w:rPr>
        <w:t xml:space="preserve"> a contar da data de sua apresentação.</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4.6.1 Será desclassificada a proposta vencedora que: </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4.6.2 contiver vícios insanáveis;</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4.6.3 não obedecer às especificações técnicas pormenorizadas neste aviso ou em seus anexos;</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4.6.4 apresentar preços inexequíveis ou permanecerem acima do preço máximo definido para a contratação;</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4.6.5 não tiverem sua exequibilidade demonstrada, quando exigido pela Administração;</w:t>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4.6.6 apresentar desconformidade com quaisquer outras exigências deste aviso ou seus anexos, desde que insanável.</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 Quando o fornecedor não conseguir comprovar que possui ou possuirá recursos suficientes para executar a contento o objeto, será considerada inexequível a proposta de preços ou menor lance que:</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4.7.2 apresentar um ou mais valores da planilha de custo que sejam inferiores àqueles fixados em instrumentos de caráter normativo obrigatório, tais como leis, medidas provisórias e convenções coletivas de trabalho vigentes.</w:t>
      </w:r>
    </w:p>
    <w:p>
      <w:pPr>
        <w:pStyle w:val="ListParagraph"/>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15"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4.7.3 Se houver indícios de inexequibilidade da proposta de preço, ou em caso da necessidade de esclarecimentos complementares, poderão ser efetuadas diligências, para que a empresa comprove a exequibilidade da proposta. </w:t>
      </w:r>
    </w:p>
    <w:p>
      <w:pPr>
        <w:pStyle w:val="ListParagraph"/>
        <w:spacing w:lineRule="auto" w:line="240" w:before="120" w:after="120"/>
        <w:ind w:left="0" w:right="-15"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4.7.4 Erros no preenchimento da planilha nano constituem motivo para a classificacional da proposta. A planilha apodera ser ajustada pelo fornecedor, no prazo indicado pelo sistema, desde que não haja majoração do preço.</w:t>
      </w:r>
    </w:p>
    <w:p>
      <w:pPr>
        <w:pStyle w:val="ListParagraph"/>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4.7.5 O ajuste de que trata este dispositivo se limita a sanar erros ou falhas que não alterem a substância das propostas;</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4.7.6 Considera-se erro no preenchimento da planilha passível de correção a indicação de recolhimento de impostos e contribuições na forma do Simples Nacional, quando não cabível esse regime.</w:t>
      </w:r>
    </w:p>
    <w:p>
      <w:pPr>
        <w:pStyle w:val="ListParagraph"/>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4.7.7.Para fins de análise da proposta quanto ao cumprimento das especificações do objeto, poderá ser colhida a manifestação escrita do setor requisitante do serviço ou da área especializada no objeto.</w:t>
      </w:r>
    </w:p>
    <w:p>
      <w:pPr>
        <w:pStyle w:val="ListParagraph"/>
        <w:spacing w:lineRule="auto" w:line="240" w:before="120" w:after="120"/>
        <w:ind w:left="0" w:right="0"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4.7.8 Se a proposta ou lance vencedor for desclassificado, será examinada a proposta subsequente, e, assim sucessivamente, na ordem de classificação.</w:t>
      </w:r>
    </w:p>
    <w:p>
      <w:pPr>
        <w:pStyle w:val="ListParagraph"/>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4.7.9 Encerrada a análise quanto à aceitação da proposta, se iniciará a fase de habilitação, observado o disposto neste. </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5. Habilitação</w:t>
            </w:r>
          </w:p>
        </w:tc>
      </w:tr>
    </w:tbl>
    <w:p>
      <w:pPr>
        <w:pStyle w:val="PADRO"/>
        <w:widowControl/>
        <w:numPr>
          <w:ilvl w:val="0"/>
          <w:numId w:val="0"/>
        </w:numPr>
        <w:shd w:val="clear" w:color="auto" w:fill="auto"/>
        <w:spacing w:lineRule="auto" w:line="240" w:before="120" w:after="120"/>
        <w:ind w:left="720"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ascii="Times New Roman" w:hAnsi="Times New Roman"/>
          <w:i w:val="false"/>
          <w:iCs w:val="false"/>
          <w:color w:val="000000"/>
          <w:kern w:val="0"/>
          <w:sz w:val="22"/>
          <w:szCs w:val="22"/>
          <w:shd w:fill="auto" w:val="clear"/>
          <w:lang w:val="pt-BR" w:eastAsia="en-US" w:bidi="ar-SA"/>
        </w:rPr>
      </w:r>
    </w:p>
    <w:p>
      <w:pPr>
        <w:pStyle w:val="ListParagraph"/>
        <w:numPr>
          <w:ilvl w:val="0"/>
          <w:numId w:val="0"/>
        </w:numPr>
        <w:tabs>
          <w:tab w:val="clear" w:pos="720"/>
          <w:tab w:val="left" w:pos="993" w:leader="none"/>
        </w:tabs>
        <w:spacing w:lineRule="auto" w:line="240" w:before="0" w:after="0"/>
        <w:ind w:left="0" w:right="0"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5.1 A habilitação dos fornecedores será verificada por meio dos documentos apresentados em relação à habilitação jurídica, à regularidade fiscal e trabalhista, à qualificação econômica financeira e à habilitação técnica, conforme for o caso.</w:t>
      </w:r>
    </w:p>
    <w:p>
      <w:pPr>
        <w:pStyle w:val="Normal"/>
        <w:spacing w:lineRule="auto" w:line="240"/>
        <w:ind w:left="0" w:right="4" w:hanging="0"/>
        <w:jc w:val="both"/>
        <w:rPr>
          <w:rFonts w:ascii="Times New Roman" w:hAnsi="Times New Roman" w:eastAsia="Times New Roman" w:cs="Arial"/>
          <w:i w:val="false"/>
          <w:i w:val="false"/>
          <w:iCs w:val="false"/>
          <w:color w:val="000000"/>
          <w:kern w:val="0"/>
          <w:sz w:val="22"/>
          <w:szCs w:val="22"/>
          <w:highlight w:val="cyan"/>
          <w:shd w:fill="auto" w:val="clear"/>
          <w:lang w:val="pt-BR" w:eastAsia="en-US" w:bidi="ar-SA"/>
        </w:rPr>
      </w:pPr>
      <w:r>
        <w:rPr>
          <w:rFonts w:eastAsia="Times New Roman" w:cs="Arial"/>
          <w:i w:val="false"/>
          <w:iCs w:val="false"/>
          <w:color w:val="000000"/>
          <w:kern w:val="0"/>
          <w:sz w:val="22"/>
          <w:szCs w:val="22"/>
          <w:highlight w:val="cyan"/>
          <w:shd w:fill="auto" w:val="clear"/>
          <w:lang w:val="pt-BR" w:eastAsia="en-US" w:bidi="ar-SA"/>
        </w:rPr>
      </w:r>
    </w:p>
    <w:p>
      <w:pPr>
        <w:pStyle w:val="Normal"/>
        <w:widowControl/>
        <w:numPr>
          <w:ilvl w:val="0"/>
          <w:numId w:val="0"/>
        </w:numPr>
        <w:tabs>
          <w:tab w:val="clear" w:pos="720"/>
          <w:tab w:val="left" w:pos="993" w:leader="none"/>
        </w:tabs>
        <w:suppressAutoHyphens w:val="false"/>
        <w:spacing w:lineRule="auto" w:line="24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5.2 O descumprimento do subitem acima implicará a inabilitação do fornecedor, exceto se a consulta aos sítios eletrônicos oficiais emissores de certidões feita pela comissão de contratação lograr êxito em encontrar a(s) certidão(ões) válida(s).</w:t>
      </w:r>
    </w:p>
    <w:p>
      <w:pPr>
        <w:pStyle w:val="Normal"/>
        <w:tabs>
          <w:tab w:val="clear" w:pos="720"/>
          <w:tab w:val="left" w:pos="1843" w:leader="none"/>
        </w:tabs>
        <w:spacing w:lineRule="auto" w:line="240"/>
        <w:ind w:left="0" w:right="4"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hd w:val="clear" w:color="auto" w:fill="FFFFFF"/>
        <w:tabs>
          <w:tab w:val="clear" w:pos="720"/>
          <w:tab w:val="left" w:pos="426" w:leader="none"/>
        </w:tabs>
        <w:spacing w:lineRule="auto" w:line="240" w:before="0" w:after="0"/>
        <w:ind w:left="0" w:right="0"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5.3 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pPr>
        <w:pStyle w:val="Normal"/>
        <w:shd w:val="clear" w:color="auto" w:fill="FFFFFF"/>
        <w:tabs>
          <w:tab w:val="clear" w:pos="720"/>
          <w:tab w:val="left" w:pos="426" w:leader="none"/>
        </w:tabs>
        <w:spacing w:lineRule="auto" w:line="240"/>
        <w:ind w:left="0" w:right="4"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shd w:val="clear" w:color="auto" w:fill="FFFFFF"/>
        <w:tabs>
          <w:tab w:val="clear" w:pos="720"/>
          <w:tab w:val="left" w:pos="426" w:leader="none"/>
        </w:tabs>
        <w:spacing w:lineRule="auto" w:line="240" w:before="0" w:after="0"/>
        <w:ind w:left="0" w:right="0"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5.4 Havendo a necessidade de envio de documentos de habilitação complementares, necessários à confirmação daqueles exigidos neste Edital e já apresentados, o licitante será convocado a encaminhá-los, em formato digital, no prazo </w:t>
      </w:r>
      <w:r>
        <w:rPr>
          <w:rFonts w:eastAsia="Times New Roman" w:cs="Arial"/>
          <w:b/>
          <w:i w:val="false"/>
          <w:iCs w:val="false"/>
          <w:color w:val="000000"/>
          <w:kern w:val="0"/>
          <w:sz w:val="22"/>
          <w:szCs w:val="22"/>
          <w:shd w:fill="auto" w:val="clear"/>
          <w:lang w:val="pt-BR" w:eastAsia="en-US" w:bidi="ar-SA"/>
        </w:rPr>
        <w:t>2 (duas) horas</w:t>
      </w:r>
      <w:r>
        <w:rPr>
          <w:rFonts w:eastAsia="Times New Roman" w:cs="Arial"/>
          <w:i w:val="false"/>
          <w:iCs w:val="false"/>
          <w:color w:val="000000"/>
          <w:kern w:val="0"/>
          <w:sz w:val="22"/>
          <w:szCs w:val="22"/>
          <w:shd w:fill="auto" w:val="clear"/>
          <w:lang w:val="pt-BR" w:eastAsia="en-US" w:bidi="ar-SA"/>
        </w:rPr>
        <w:t xml:space="preserve"> sob pena de inabilitação.</w:t>
      </w:r>
    </w:p>
    <w:p>
      <w:pPr>
        <w:pStyle w:val="Normal"/>
        <w:shd w:val="clear" w:color="auto" w:fill="FFFFFF"/>
        <w:tabs>
          <w:tab w:val="clear" w:pos="720"/>
          <w:tab w:val="left" w:pos="426" w:leader="none"/>
        </w:tabs>
        <w:spacing w:lineRule="auto" w:line="240"/>
        <w:ind w:left="0" w:right="4"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tabs>
          <w:tab w:val="clear" w:pos="720"/>
          <w:tab w:val="left" w:pos="426" w:leader="none"/>
        </w:tabs>
        <w:spacing w:lineRule="auto" w:line="240" w:before="0" w:after="0"/>
        <w:ind w:left="0" w:right="0"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5.5 Somente haverá a necessidade de comprovação do preenchimento de requisitos mediante apresentação dos documentos originais não-digitais quando houver dúvida em relação à integridade do documento digital.</w:t>
      </w:r>
    </w:p>
    <w:p>
      <w:pPr>
        <w:pStyle w:val="Normal"/>
        <w:tabs>
          <w:tab w:val="clear" w:pos="720"/>
          <w:tab w:val="left" w:pos="426" w:leader="none"/>
        </w:tabs>
        <w:spacing w:lineRule="auto" w:line="240"/>
        <w:ind w:left="0" w:right="4"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numPr>
          <w:ilvl w:val="0"/>
          <w:numId w:val="0"/>
        </w:numPr>
        <w:tabs>
          <w:tab w:val="clear" w:pos="720"/>
          <w:tab w:val="left" w:pos="426" w:leader="none"/>
        </w:tabs>
        <w:spacing w:lineRule="auto" w:line="240" w:before="0" w:after="0"/>
        <w:ind w:left="0" w:right="0"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5.6 Não serão aceitos documentos de habilitação com indicação de CNPJ/CPF diferentes, salvo aqueles legalmente permitidos.</w:t>
      </w:r>
    </w:p>
    <w:p>
      <w:pPr>
        <w:pStyle w:val="Nivel3"/>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5.7 Todos os documentos apresentados para habilitação deverão estar em nome do licitante, com o número do CNPJ e, preferencialmente, com endereço respectivo, devendo ser observado o seguinte:</w:t>
      </w:r>
    </w:p>
    <w:p>
      <w:pPr>
        <w:pStyle w:val="Nivel3"/>
        <w:numPr>
          <w:ilvl w:val="2"/>
          <w:numId w:val="10"/>
        </w:numPr>
        <w:tabs>
          <w:tab w:val="clear" w:pos="720"/>
          <w:tab w:val="left" w:pos="0" w:leader="none"/>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 </w:t>
      </w:r>
      <w:r>
        <w:rPr>
          <w:rFonts w:eastAsia="Times New Roman" w:cs="Arial"/>
          <w:i w:val="false"/>
          <w:iCs w:val="false"/>
          <w:color w:val="000000"/>
          <w:kern w:val="0"/>
          <w:sz w:val="22"/>
          <w:szCs w:val="22"/>
          <w:shd w:fill="auto" w:val="clear"/>
          <w:lang w:val="pt-BR" w:eastAsia="en-US" w:bidi="ar-SA"/>
        </w:rPr>
        <w:t xml:space="preserve">se o licitante for a matriz, todos os documentos deverão estar com o número do CNPJ da matriz; </w:t>
      </w:r>
    </w:p>
    <w:p>
      <w:pPr>
        <w:pStyle w:val="Nivel3"/>
        <w:numPr>
          <w:ilvl w:val="2"/>
          <w:numId w:val="10"/>
        </w:numPr>
        <w:tabs>
          <w:tab w:val="clear" w:pos="720"/>
          <w:tab w:val="left" w:pos="0" w:leader="none"/>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se o licitante for a filial, todos os documentos deverão estar com o número do CNPJ da filial, exceto quanto à Certidão Conjunta Negativa de Débitos relativos aos Tributos Federais e à Dívida Ativa, que são válidos tanto para a matriz quanto para as filiais;</w:t>
      </w:r>
    </w:p>
    <w:p>
      <w:pPr>
        <w:pStyle w:val="Nivel3"/>
        <w:numPr>
          <w:ilvl w:val="2"/>
          <w:numId w:val="10"/>
        </w:numPr>
        <w:tabs>
          <w:tab w:val="clear" w:pos="720"/>
          <w:tab w:val="left" w:pos="0" w:leader="none"/>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se o licitante for a matriz e o executor do contrato a filial, os documentos deverão ser apresentados com o número de CNPJ da matriz e da filial, simultaneamente, com exceção das certidões emitidas unicamente para a matriz;</w:t>
      </w:r>
    </w:p>
    <w:p>
      <w:pPr>
        <w:pStyle w:val="Nivel3"/>
        <w:numPr>
          <w:ilvl w:val="2"/>
          <w:numId w:val="10"/>
        </w:numPr>
        <w:tabs>
          <w:tab w:val="clear" w:pos="720"/>
          <w:tab w:val="left" w:pos="0" w:leader="none"/>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 </w:t>
      </w:r>
      <w:r>
        <w:rPr>
          <w:rFonts w:eastAsia="Times New Roman" w:cs="Arial"/>
          <w:i w:val="false"/>
          <w:iCs w:val="false"/>
          <w:color w:val="000000"/>
          <w:kern w:val="0"/>
          <w:sz w:val="22"/>
          <w:szCs w:val="22"/>
          <w:shd w:fill="auto" w:val="clear"/>
          <w:lang w:val="pt-BR" w:eastAsia="en-US" w:bidi="ar-SA"/>
        </w:rPr>
        <w:t>a Certidão de Regularidade do FGTS poderá ser apresentada tanto da matriz quanto da filial, já que a regularidade da filial está condicionada à regularidade da matriz e dos demais estabelecimentos.</w:t>
      </w:r>
    </w:p>
    <w:p>
      <w:pPr>
        <w:pStyle w:val="ListParagraph"/>
        <w:numPr>
          <w:ilvl w:val="0"/>
          <w:numId w:val="0"/>
        </w:numPr>
        <w:tabs>
          <w:tab w:val="clear" w:pos="720"/>
          <w:tab w:val="left" w:pos="426" w:leader="none"/>
        </w:tabs>
        <w:spacing w:lineRule="auto" w:line="240" w:before="0" w:after="0"/>
        <w:ind w:left="0" w:right="0" w:hanging="0"/>
        <w:jc w:val="both"/>
        <w:rPr/>
      </w:pPr>
      <w:r>
        <w:rPr>
          <w:rFonts w:eastAsia="Times New Roman" w:cs="Arial"/>
          <w:i w:val="false"/>
          <w:iCs w:val="false"/>
          <w:color w:val="000000"/>
          <w:kern w:val="0"/>
          <w:sz w:val="22"/>
          <w:szCs w:val="22"/>
          <w:shd w:fill="auto" w:val="clear"/>
          <w:lang w:val="pt-BR" w:eastAsia="en-US" w:bidi="ar-SA"/>
        </w:rPr>
        <w:t xml:space="preserve">5.8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6">
        <w:r>
          <w:rPr>
            <w:rStyle w:val="LinkdaInternet"/>
            <w:rFonts w:eastAsia="Times New Roman" w:cs="Arial"/>
            <w:i w:val="false"/>
            <w:iCs w:val="false"/>
            <w:color w:val="000000"/>
            <w:kern w:val="0"/>
            <w:sz w:val="22"/>
            <w:szCs w:val="22"/>
            <w:shd w:fill="auto" w:val="clear"/>
            <w:lang w:val="pt-BR" w:eastAsia="en-US" w:bidi="ar-SA"/>
          </w:rPr>
          <w:t>Decreto nº 8.660, de 29 de janeiro de 2016</w:t>
        </w:r>
      </w:hyperlink>
      <w:r>
        <w:rPr>
          <w:rFonts w:eastAsia="Times New Roman" w:cs="Arial"/>
          <w:i w:val="false"/>
          <w:iCs w:val="false"/>
          <w:color w:val="000000"/>
          <w:kern w:val="0"/>
          <w:sz w:val="22"/>
          <w:szCs w:val="22"/>
          <w:shd w:fill="auto" w:val="clear"/>
          <w:lang w:val="pt-BR" w:eastAsia="en-US" w:bidi="ar-SA"/>
        </w:rPr>
        <w:t>, ou de outro que venha a substituí-lo, ou consularizados pelos respectivos consulados ou embaixadas</w:t>
      </w:r>
    </w:p>
    <w:p>
      <w:pPr>
        <w:pStyle w:val="ListParagraph"/>
        <w:tabs>
          <w:tab w:val="clear" w:pos="720"/>
          <w:tab w:val="left" w:pos="426" w:leader="none"/>
        </w:tabs>
        <w:spacing w:lineRule="auto" w:line="240" w:before="0" w:after="0"/>
        <w:ind w:left="0" w:right="0"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6. Habilitação Jurídica</w:t>
            </w:r>
          </w:p>
        </w:tc>
      </w:tr>
    </w:tbl>
    <w:p>
      <w:pPr>
        <w:pStyle w:val="Normal"/>
        <w:tabs>
          <w:tab w:val="clear" w:pos="720"/>
          <w:tab w:val="left" w:pos="426" w:leader="none"/>
        </w:tabs>
        <w:spacing w:lineRule="auto" w:line="240"/>
        <w:ind w:left="0" w:right="0"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Nvel1SemNum"/>
        <w:numPr>
          <w:ilvl w:val="0"/>
          <w:numId w:val="0"/>
        </w:numPr>
        <w:tabs>
          <w:tab w:val="clear" w:pos="567"/>
          <w:tab w:val="left" w:pos="851" w:leader="none"/>
        </w:tabs>
        <w:spacing w:lineRule="auto" w:line="240" w:before="120" w:after="288"/>
        <w:ind w:left="0" w:right="0" w:hanging="0"/>
        <w:jc w:val="both"/>
        <w:rPr>
          <w:rFonts w:ascii="Times New Roman" w:hAnsi="Times New Roman"/>
          <w:sz w:val="22"/>
          <w:szCs w:val="22"/>
        </w:rPr>
      </w:pPr>
      <w:r>
        <w:rPr>
          <w:rFonts w:eastAsia="Times New Roman" w:cs="Arial" w:ascii="Times New Roman" w:hAnsi="Times New Roman"/>
          <w:b w:val="false"/>
          <w:bCs w:val="false"/>
          <w:i w:val="false"/>
          <w:iCs w:val="false"/>
          <w:color w:val="000000"/>
          <w:kern w:val="0"/>
          <w:sz w:val="22"/>
          <w:szCs w:val="22"/>
          <w:shd w:fill="auto" w:val="clear"/>
          <w:lang w:val="pt-BR" w:eastAsia="en-US" w:bidi="ar-SA"/>
        </w:rPr>
        <w:t>Os licitantes deverão encaminhar, nos termos deste Edital, a documentação relacionada nos itens a seguir, para fins de habilitação</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6.1 Empresário individual:</w:t>
      </w:r>
      <w:r>
        <w:rPr>
          <w:rFonts w:eastAsia="Times New Roman" w:cs="Arial"/>
          <w:i w:val="false"/>
          <w:iCs w:val="false"/>
          <w:color w:val="000000"/>
          <w:kern w:val="0"/>
          <w:sz w:val="22"/>
          <w:szCs w:val="22"/>
          <w:shd w:fill="auto" w:val="clear"/>
          <w:lang w:val="pt-BR" w:eastAsia="en-US" w:bidi="ar-SA"/>
        </w:rPr>
        <w:t xml:space="preserve"> inscrição no Registro Público de Empresas Mercantis, a cargo da Junta Comercial da respectiva sede; </w:t>
      </w:r>
    </w:p>
    <w:p>
      <w:pPr>
        <w:pStyle w:val="ListParagraph"/>
        <w:numPr>
          <w:ilvl w:val="0"/>
          <w:numId w:val="11"/>
        </w:numPr>
        <w:tabs>
          <w:tab w:val="clear" w:pos="720"/>
          <w:tab w:val="left" w:pos="851" w:leader="none"/>
        </w:tabs>
        <w:spacing w:lineRule="auto" w:line="240" w:before="120" w:after="288"/>
        <w:ind w:left="0" w:right="0" w:hanging="0"/>
        <w:jc w:val="both"/>
        <w:rPr>
          <w:rFonts w:ascii="Times New Roman" w:hAnsi="Times New Roman" w:eastAsia="Times New Roman" w:cs="Arial"/>
          <w:b/>
          <w:b/>
          <w:bCs/>
          <w:i w:val="false"/>
          <w:i w:val="false"/>
          <w:iCs w:val="false"/>
          <w:vanish/>
          <w:color w:val="000000"/>
          <w:kern w:val="0"/>
          <w:sz w:val="22"/>
          <w:szCs w:val="22"/>
          <w:shd w:fill="auto" w:val="clear"/>
          <w:lang w:val="pt-BR" w:eastAsia="en-US" w:bidi="ar-SA"/>
        </w:rPr>
      </w:pPr>
      <w:r>
        <w:rPr>
          <w:rFonts w:eastAsia="Times New Roman" w:cs="Arial"/>
          <w:b/>
          <w:bCs/>
          <w:i w:val="false"/>
          <w:iCs w:val="false"/>
          <w:vanish/>
          <w:color w:val="000000"/>
          <w:kern w:val="0"/>
          <w:sz w:val="22"/>
          <w:szCs w:val="22"/>
          <w:shd w:fill="auto" w:val="clear"/>
          <w:lang w:val="pt-BR" w:eastAsia="en-US" w:bidi="ar-SA"/>
        </w:rPr>
      </w:r>
    </w:p>
    <w:p>
      <w:pPr>
        <w:pStyle w:val="ListParagraph"/>
        <w:numPr>
          <w:ilvl w:val="1"/>
          <w:numId w:val="11"/>
        </w:numPr>
        <w:tabs>
          <w:tab w:val="clear" w:pos="720"/>
          <w:tab w:val="left" w:pos="851" w:leader="none"/>
        </w:tabs>
        <w:spacing w:lineRule="auto" w:line="240" w:before="120" w:after="288"/>
        <w:ind w:left="0" w:right="0" w:hanging="0"/>
        <w:jc w:val="both"/>
        <w:rPr>
          <w:rFonts w:ascii="Times New Roman" w:hAnsi="Times New Roman" w:eastAsia="Times New Roman" w:cs="Arial"/>
          <w:b/>
          <w:b/>
          <w:bCs/>
          <w:i w:val="false"/>
          <w:i w:val="false"/>
          <w:iCs w:val="false"/>
          <w:vanish/>
          <w:color w:val="000000"/>
          <w:kern w:val="0"/>
          <w:sz w:val="22"/>
          <w:szCs w:val="22"/>
          <w:shd w:fill="auto" w:val="clear"/>
          <w:lang w:val="pt-BR" w:eastAsia="en-US" w:bidi="ar-SA"/>
        </w:rPr>
      </w:pPr>
      <w:r>
        <w:rPr>
          <w:rFonts w:eastAsia="Times New Roman" w:cs="Arial"/>
          <w:b/>
          <w:bCs/>
          <w:i w:val="false"/>
          <w:iCs w:val="false"/>
          <w:vanish/>
          <w:color w:val="000000"/>
          <w:kern w:val="0"/>
          <w:sz w:val="22"/>
          <w:szCs w:val="22"/>
          <w:shd w:fill="auto" w:val="clear"/>
          <w:lang w:val="pt-BR" w:eastAsia="en-US" w:bidi="ar-SA"/>
        </w:rPr>
      </w:r>
    </w:p>
    <w:p>
      <w:pPr>
        <w:pStyle w:val="Nivel2"/>
        <w:numPr>
          <w:ilvl w:val="0"/>
          <w:numId w:val="0"/>
        </w:numPr>
        <w:tabs>
          <w:tab w:val="clear" w:pos="720"/>
          <w:tab w:val="left" w:pos="851" w:leader="none"/>
        </w:tabs>
        <w:spacing w:lineRule="auto" w:line="240" w:before="120" w:after="288"/>
        <w:ind w:left="0" w:right="4" w:hanging="0"/>
        <w:jc w:val="both"/>
        <w:rPr/>
      </w:pPr>
      <w:r>
        <w:rPr>
          <w:rFonts w:eastAsia="Times New Roman" w:cs="Arial"/>
          <w:b/>
          <w:bCs/>
          <w:i w:val="false"/>
          <w:iCs w:val="false"/>
          <w:color w:val="000000"/>
          <w:kern w:val="0"/>
          <w:sz w:val="22"/>
          <w:szCs w:val="22"/>
          <w:shd w:fill="auto" w:val="clear"/>
          <w:lang w:val="pt-BR" w:eastAsia="en-US" w:bidi="ar-SA"/>
        </w:rPr>
        <w:t>6.2 Microempreendedor Individual – MEI</w:t>
      </w:r>
      <w:r>
        <w:rPr>
          <w:rFonts w:eastAsia="Times New Roman" w:cs="Arial"/>
          <w:bCs/>
          <w:i w:val="false"/>
          <w:iCs w:val="false"/>
          <w:color w:val="000000"/>
          <w:kern w:val="0"/>
          <w:sz w:val="22"/>
          <w:szCs w:val="22"/>
          <w:shd w:fill="auto" w:val="clear"/>
          <w:lang w:val="pt-BR" w:eastAsia="en-US" w:bidi="ar-SA"/>
        </w:rPr>
        <w:t>:</w:t>
      </w:r>
      <w:r>
        <w:rPr>
          <w:rFonts w:eastAsia="Times New Roman" w:cs="Arial"/>
          <w:i w:val="false"/>
          <w:iCs w:val="false"/>
          <w:color w:val="000000"/>
          <w:kern w:val="0"/>
          <w:sz w:val="22"/>
          <w:szCs w:val="22"/>
          <w:shd w:fill="auto" w:val="clear"/>
          <w:lang w:val="pt-BR" w:eastAsia="en-US" w:bidi="ar-SA"/>
        </w:rPr>
        <w:t xml:space="preserve"> Certificado da Condição de Microempreendedor Individual – CCMEI, cuja aceitação ficará condicionada à verificação da autenticidade no sítio </w:t>
      </w:r>
      <w:hyperlink r:id="rId7">
        <w:r>
          <w:rPr>
            <w:rStyle w:val="LinkdaInternet"/>
            <w:rFonts w:eastAsia="Times New Roman" w:cs="Arial"/>
            <w:i w:val="false"/>
            <w:iCs w:val="false"/>
            <w:color w:val="000000"/>
            <w:kern w:val="0"/>
            <w:sz w:val="22"/>
            <w:szCs w:val="22"/>
            <w:shd w:fill="auto" w:val="clear"/>
            <w:lang w:val="pt-BR" w:eastAsia="en-US" w:bidi="ar-SA"/>
          </w:rPr>
          <w:t>https://www.gov.br/empresas-e-negocios/pt-br/empreendedor</w:t>
        </w:r>
      </w:hyperlink>
      <w:r>
        <w:rPr>
          <w:rFonts w:eastAsia="Times New Roman" w:cs="Arial"/>
          <w:i w:val="false"/>
          <w:iCs w:val="false"/>
          <w:color w:val="000000"/>
          <w:kern w:val="0"/>
          <w:sz w:val="22"/>
          <w:szCs w:val="22"/>
          <w:shd w:fill="auto" w:val="clear"/>
          <w:lang w:val="pt-BR" w:eastAsia="en-US" w:bidi="ar-SA"/>
        </w:rPr>
        <w:t xml:space="preserve">; </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6.3 Sociedade empresária</w:t>
      </w:r>
      <w:r>
        <w:rPr>
          <w:rFonts w:eastAsia="Times New Roman" w:cs="Arial"/>
          <w:bCs/>
          <w:i w:val="false"/>
          <w:iCs w:val="false"/>
          <w:color w:val="000000"/>
          <w:kern w:val="0"/>
          <w:sz w:val="22"/>
          <w:szCs w:val="22"/>
          <w:shd w:fill="auto" w:val="clear"/>
          <w:lang w:val="pt-BR" w:eastAsia="en-US" w:bidi="ar-SA"/>
        </w:rPr>
        <w:t>, sociedade limitada unipessoal – SUL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2"/>
        <w:numPr>
          <w:ilvl w:val="0"/>
          <w:numId w:val="0"/>
        </w:numPr>
        <w:tabs>
          <w:tab w:val="clear" w:pos="720"/>
          <w:tab w:val="left" w:pos="851" w:leader="none"/>
        </w:tabs>
        <w:spacing w:lineRule="auto" w:line="240" w:before="120" w:after="288"/>
        <w:ind w:left="0" w:right="4" w:hanging="0"/>
        <w:jc w:val="both"/>
        <w:rPr/>
      </w:pPr>
      <w:r>
        <w:rPr>
          <w:rFonts w:eastAsia="Times New Roman" w:cs="Arial"/>
          <w:b/>
          <w:bCs/>
          <w:i w:val="false"/>
          <w:iCs w:val="false"/>
          <w:color w:val="000000"/>
          <w:kern w:val="0"/>
          <w:sz w:val="22"/>
          <w:szCs w:val="22"/>
          <w:shd w:fill="auto" w:val="clear"/>
          <w:lang w:val="pt-BR" w:eastAsia="en-US" w:bidi="ar-SA"/>
        </w:rPr>
        <w:t>6.4 Sociedade empresária estrangeira</w:t>
      </w:r>
      <w:r>
        <w:rPr>
          <w:rFonts w:eastAsia="Times New Roman" w:cs="Arial"/>
          <w:bCs/>
          <w:i w:val="false"/>
          <w:iCs w:val="false"/>
          <w:color w:val="000000"/>
          <w:kern w:val="0"/>
          <w:sz w:val="22"/>
          <w:szCs w:val="22"/>
          <w:shd w:fill="auto" w:val="clear"/>
          <w:lang w:val="pt-BR" w:eastAsia="en-US" w:bidi="ar-S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
        <w:r>
          <w:rPr>
            <w:rFonts w:eastAsia="Times New Roman" w:cs="Arial"/>
            <w:bCs/>
            <w:i w:val="false"/>
            <w:iCs w:val="false"/>
            <w:color w:val="000000"/>
            <w:kern w:val="0"/>
            <w:sz w:val="22"/>
            <w:szCs w:val="22"/>
            <w:shd w:fill="auto" w:val="clear"/>
            <w:lang w:val="pt-BR" w:eastAsia="en-US" w:bidi="ar-SA"/>
          </w:rPr>
          <w:t>Normativa FREI/ME n.º 77, de 18 de março de 2020</w:t>
        </w:r>
      </w:hyperlink>
      <w:r>
        <w:rPr>
          <w:rFonts w:eastAsia="Times New Roman" w:cs="Arial"/>
          <w:bCs/>
          <w:i w:val="false"/>
          <w:iCs w:val="false"/>
          <w:color w:val="000000"/>
          <w:kern w:val="0"/>
          <w:sz w:val="22"/>
          <w:szCs w:val="22"/>
          <w:shd w:fill="auto" w:val="clear"/>
          <w:lang w:val="pt-BR" w:eastAsia="en-US" w:bidi="ar-SA"/>
        </w:rPr>
        <w:t>.</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6.5 Sociedade simples</w:t>
      </w:r>
      <w:r>
        <w:rPr>
          <w:rFonts w:eastAsia="Times New Roman" w:cs="Arial"/>
          <w:bCs/>
          <w:i w:val="false"/>
          <w:iCs w:val="false"/>
          <w:color w:val="000000"/>
          <w:kern w:val="0"/>
          <w:sz w:val="22"/>
          <w:szCs w:val="22"/>
          <w:shd w:fill="auto" w:val="clear"/>
          <w:lang w:val="pt-BR" w:eastAsia="en-US" w:bidi="ar-SA"/>
        </w:rPr>
        <w:t>: inscrição do ato constitutivo no Registro Civil de Pessoas Jurídicas do local de sua sede, acompanhada de documento comprobatório de seus administradores;</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6.6 Filial, sucursal ou agência de sociedade simples ou empresária</w:t>
      </w:r>
      <w:r>
        <w:rPr>
          <w:rFonts w:eastAsia="Times New Roman" w:cs="Arial"/>
          <w:bCs/>
          <w:i w:val="false"/>
          <w:iCs w:val="false"/>
          <w:color w:val="000000"/>
          <w:kern w:val="0"/>
          <w:sz w:val="22"/>
          <w:szCs w:val="22"/>
          <w:shd w:fill="auto" w:val="clear"/>
          <w:lang w:val="pt-BR" w:eastAsia="en-US" w:bidi="ar-SA"/>
        </w:rPr>
        <w:t>: inscrição do ato constitutivo da filial, sucursal ou agência da sociedade simples ou empresária, respectivamente, no Registro Civil das Pessoa</w:t>
      </w:r>
      <w:r>
        <w:rPr>
          <w:rFonts w:eastAsia="Times New Roman" w:cs="Arial"/>
          <w:i w:val="false"/>
          <w:iCs w:val="false"/>
          <w:color w:val="000000"/>
          <w:kern w:val="0"/>
          <w:sz w:val="22"/>
          <w:szCs w:val="22"/>
          <w:shd w:fill="auto" w:val="clear"/>
          <w:lang w:val="pt-BR" w:eastAsia="en-US" w:bidi="ar-SA"/>
        </w:rPr>
        <w:t>s Jurídicas ou no Registro Público de Empresas Mercantis onde opera, com averbação no Registro onde tem sede a matriz</w:t>
      </w:r>
    </w:p>
    <w:p>
      <w:pPr>
        <w:pStyle w:val="Nivel2"/>
        <w:numPr>
          <w:ilvl w:val="0"/>
          <w:numId w:val="0"/>
        </w:numPr>
        <w:tabs>
          <w:tab w:val="clear" w:pos="720"/>
          <w:tab w:val="left" w:pos="851" w:leader="none"/>
        </w:tabs>
        <w:spacing w:lineRule="auto" w:line="240" w:before="120" w:after="288"/>
        <w:ind w:left="0" w:right="4" w:hanging="0"/>
        <w:jc w:val="both"/>
        <w:rPr/>
      </w:pPr>
      <w:r>
        <w:rPr>
          <w:rFonts w:eastAsia="Times New Roman" w:cs="Arial"/>
          <w:b/>
          <w:bCs/>
          <w:i w:val="false"/>
          <w:iCs w:val="false"/>
          <w:color w:val="000000"/>
          <w:kern w:val="0"/>
          <w:sz w:val="22"/>
          <w:szCs w:val="22"/>
          <w:shd w:fill="auto" w:val="clear"/>
          <w:lang w:val="pt-BR" w:eastAsia="en-US" w:bidi="ar-SA"/>
        </w:rPr>
        <w:t>6.7 Sociedade cooperativa</w:t>
      </w:r>
      <w:r>
        <w:rPr>
          <w:rFonts w:eastAsia="Times New Roman" w:cs="Arial"/>
          <w:bCs/>
          <w:i w:val="false"/>
          <w:iCs w:val="false"/>
          <w:color w:val="000000"/>
          <w:kern w:val="0"/>
          <w:sz w:val="22"/>
          <w:szCs w:val="22"/>
          <w:shd w:fill="auto" w:val="clear"/>
          <w:lang w:val="pt-BR" w:eastAsia="en-US" w:bidi="ar-SA"/>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rPr>
          <w:sz w:val="22"/>
          <w:i w:val="false"/>
          <w:kern w:val="0"/>
          <w:shd w:fill="auto" w:val="clear"/>
          <w:szCs w:val="22"/>
          <w:iCs w:val="false"/>
          <w:bCs/>
          <w:rFonts w:eastAsia="Times New Roman" w:cs="Arial"/>
          <w:color w:val="000000"/>
          <w:lang w:val="pt-BR" w:eastAsia="en-US" w:bidi="ar-SA"/>
        </w:rPr>
        <w:instrText xml:space="preserve"> HYPERLINK "https://www.planalto.gov.br/ccivil_03/leis/l5764.htm" \l "art107"</w:instrText>
      </w:r>
      <w:r>
        <w:rPr>
          <w:sz w:val="22"/>
          <w:i w:val="false"/>
          <w:kern w:val="0"/>
          <w:shd w:fill="auto" w:val="clear"/>
          <w:szCs w:val="22"/>
          <w:iCs w:val="false"/>
          <w:bCs/>
          <w:rFonts w:eastAsia="Times New Roman" w:cs="Arial"/>
          <w:color w:val="000000"/>
          <w:lang w:val="pt-BR" w:eastAsia="en-US" w:bidi="ar-SA"/>
        </w:rPr>
        <w:fldChar w:fldCharType="separate"/>
      </w:r>
      <w:r>
        <w:rPr>
          <w:rFonts w:eastAsia="Times New Roman" w:cs="Arial"/>
          <w:bCs/>
          <w:i w:val="false"/>
          <w:iCs w:val="false"/>
          <w:color w:val="000000"/>
          <w:kern w:val="0"/>
          <w:sz w:val="22"/>
          <w:szCs w:val="22"/>
          <w:shd w:fill="auto" w:val="clear"/>
          <w:lang w:val="pt-BR" w:eastAsia="en-US" w:bidi="ar-SA"/>
        </w:rPr>
        <w:t>art. 107 da Lei nº 5.764, de 16 de dezembro 1971</w:t>
      </w:r>
      <w:r>
        <w:rPr>
          <w:sz w:val="22"/>
          <w:i w:val="false"/>
          <w:kern w:val="0"/>
          <w:shd w:fill="auto" w:val="clear"/>
          <w:szCs w:val="22"/>
          <w:iCs w:val="false"/>
          <w:bCs/>
          <w:rFonts w:eastAsia="Times New Roman" w:cs="Arial"/>
          <w:color w:val="000000"/>
          <w:lang w:val="pt-BR" w:eastAsia="en-US" w:bidi="ar-SA"/>
        </w:rPr>
        <w:fldChar w:fldCharType="end"/>
      </w:r>
      <w:r>
        <w:rPr>
          <w:rFonts w:eastAsia="Times New Roman" w:cs="Arial"/>
          <w:bCs/>
          <w:i w:val="false"/>
          <w:iCs w:val="false"/>
          <w:color w:val="000000"/>
          <w:kern w:val="0"/>
          <w:sz w:val="22"/>
          <w:szCs w:val="22"/>
          <w:shd w:fill="auto" w:val="clear"/>
          <w:lang w:val="pt-BR" w:eastAsia="en-US" w:bidi="ar-SA"/>
        </w:rPr>
        <w:t>.</w:t>
      </w:r>
    </w:p>
    <w:p>
      <w:pPr>
        <w:pStyle w:val="Nvel2Red"/>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 xml:space="preserve">6.8 Empresa ou sociedade estrangeira: </w:t>
      </w:r>
      <w:r>
        <w:rPr>
          <w:rFonts w:eastAsia="Times New Roman" w:cs="Arial"/>
          <w:bCs/>
          <w:i w:val="false"/>
          <w:iCs w:val="false"/>
          <w:color w:val="000000"/>
          <w:kern w:val="0"/>
          <w:sz w:val="22"/>
          <w:szCs w:val="22"/>
          <w:shd w:fill="auto" w:val="clear"/>
          <w:lang w:val="pt-BR" w:eastAsia="en-US" w:bidi="ar-SA"/>
        </w:rPr>
        <w:t>Ato de autorização para o exercício da atividade de ............ (especificar a atividade contratada sujeita à autorização), expedido por ....... (especificar o órgão competente) nos termos do art. ..... da (Lei/Decreto) n° ........ (Para atividades que precise de autorização para funcionamento)</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6.9 Os documentos apresentados deverão estar acompanhados de todas as alterações ou da consolidação respectiva.</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7. Habilitação Fiscal, Social e Trabalhista</w:t>
            </w:r>
          </w:p>
        </w:tc>
      </w:tr>
    </w:tbl>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i w:val="false"/>
          <w:iCs w:val="false"/>
          <w:color w:val="000000"/>
          <w:kern w:val="0"/>
          <w:sz w:val="22"/>
          <w:szCs w:val="22"/>
          <w:shd w:fill="auto" w:val="clear"/>
          <w:lang w:val="pt-BR" w:eastAsia="en-US" w:bidi="ar-SA"/>
        </w:rPr>
        <w:t>7.1 Prova de inscrição no Cadastro Nacional de Pessoas Jurídicas</w:t>
      </w:r>
      <w:r>
        <w:rPr>
          <w:rFonts w:eastAsia="Times New Roman" w:cs="Arial"/>
          <w:i w:val="false"/>
          <w:iCs w:val="false"/>
          <w:color w:val="000000"/>
          <w:kern w:val="0"/>
          <w:sz w:val="22"/>
          <w:szCs w:val="22"/>
          <w:shd w:fill="auto" w:val="clear"/>
          <w:lang w:val="pt-BR" w:eastAsia="en-US" w:bidi="ar-SA"/>
        </w:rPr>
        <w:t>.</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i w:val="false"/>
          <w:iCs w:val="false"/>
          <w:color w:val="000000"/>
          <w:kern w:val="0"/>
          <w:sz w:val="22"/>
          <w:szCs w:val="22"/>
          <w:shd w:fill="auto" w:val="clear"/>
          <w:lang w:val="pt-BR" w:eastAsia="en-US" w:bidi="ar-SA"/>
        </w:rPr>
        <w:t>7.2 Prova de regularidade fiscal perante a Fazenda Nacional</w:t>
      </w:r>
      <w:r>
        <w:rPr>
          <w:rFonts w:eastAsia="Times New Roman" w:cs="Arial"/>
          <w:i w:val="false"/>
          <w:iCs w:val="false"/>
          <w:color w:val="000000"/>
          <w:kern w:val="0"/>
          <w:sz w:val="22"/>
          <w:szCs w:val="22"/>
          <w:shd w:fill="auto" w:val="clear"/>
          <w:lang w:val="pt-BR" w:eastAsia="en-US" w:bidi="ar-SA"/>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b/>
          <w:i w:val="false"/>
          <w:iCs w:val="false"/>
          <w:color w:val="000000"/>
          <w:kern w:val="0"/>
          <w:sz w:val="22"/>
          <w:szCs w:val="22"/>
          <w:shd w:fill="auto" w:val="clear"/>
          <w:lang w:val="pt-BR" w:eastAsia="en-US" w:bidi="ar-SA"/>
        </w:rPr>
        <w:t>7.3 Prova de regularidade com o Fundo de Garantia do Tempo de Serviço</w:t>
      </w:r>
      <w:r>
        <w:rPr>
          <w:rFonts w:eastAsia="Times New Roman" w:cs="Arial"/>
          <w:i w:val="false"/>
          <w:iCs w:val="false"/>
          <w:color w:val="000000"/>
          <w:kern w:val="0"/>
          <w:sz w:val="22"/>
          <w:szCs w:val="22"/>
          <w:shd w:fill="auto" w:val="clear"/>
          <w:lang w:val="pt-BR" w:eastAsia="en-US" w:bidi="ar-SA"/>
        </w:rPr>
        <w:t xml:space="preserve"> (FGTS);</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7.4Prova de inexistência de débitos inadimplidos perante a </w:t>
      </w:r>
      <w:r>
        <w:rPr>
          <w:rFonts w:eastAsia="Times New Roman" w:cs="Arial"/>
          <w:b/>
          <w:i w:val="false"/>
          <w:iCs w:val="false"/>
          <w:color w:val="000000"/>
          <w:kern w:val="0"/>
          <w:sz w:val="22"/>
          <w:szCs w:val="22"/>
          <w:shd w:fill="auto" w:val="clear"/>
          <w:lang w:val="pt-BR" w:eastAsia="en-US" w:bidi="ar-SA"/>
        </w:rPr>
        <w:t>Justiça do Trabalho</w:t>
      </w:r>
      <w:r>
        <w:rPr>
          <w:rFonts w:eastAsia="Times New Roman" w:cs="Arial"/>
          <w:i w:val="false"/>
          <w:iCs w:val="false"/>
          <w:color w:val="000000"/>
          <w:kern w:val="0"/>
          <w:sz w:val="22"/>
          <w:szCs w:val="22"/>
          <w:shd w:fill="auto" w:val="clear"/>
          <w:lang w:val="pt-BR" w:eastAsia="en-US" w:bidi="ar-SA"/>
        </w:rPr>
        <w:t>, mediante a apresentação de certidão negativa ou positiva com efeito de negativa, nos termos do Título VII-A da Consolidação das Leis do Trabalho, aprovada pelo Decreto-Lei nº 5.452, de 1º de maio de 1943;</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7.5 Prova de regularidade com a </w:t>
      </w:r>
      <w:r>
        <w:rPr>
          <w:rFonts w:eastAsia="Times New Roman" w:cs="Arial"/>
          <w:b/>
          <w:i w:val="false"/>
          <w:iCs w:val="false"/>
          <w:color w:val="000000"/>
          <w:kern w:val="0"/>
          <w:sz w:val="22"/>
          <w:szCs w:val="22"/>
          <w:shd w:fill="auto" w:val="clear"/>
          <w:lang w:val="pt-BR" w:eastAsia="en-US" w:bidi="ar-SA"/>
        </w:rPr>
        <w:t>Fazenda Estadual</w:t>
      </w:r>
      <w:r>
        <w:rPr>
          <w:rFonts w:eastAsia="Times New Roman" w:cs="Arial"/>
          <w:i w:val="false"/>
          <w:iCs w:val="false"/>
          <w:color w:val="000000"/>
          <w:kern w:val="0"/>
          <w:sz w:val="22"/>
          <w:szCs w:val="22"/>
          <w:shd w:fill="auto" w:val="clear"/>
          <w:lang w:val="pt-BR" w:eastAsia="en-US" w:bidi="ar-SA"/>
        </w:rPr>
        <w:t xml:space="preserve"> do domicílio ou sede do licitante, relativa à atividade em cujo exercício contrata ou concorre</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7.6 Prova de regularidade com a </w:t>
      </w:r>
      <w:r>
        <w:rPr>
          <w:rFonts w:eastAsia="Times New Roman" w:cs="Arial"/>
          <w:b/>
          <w:i w:val="false"/>
          <w:iCs w:val="false"/>
          <w:color w:val="000000"/>
          <w:kern w:val="0"/>
          <w:sz w:val="22"/>
          <w:szCs w:val="22"/>
          <w:shd w:fill="auto" w:val="clear"/>
          <w:lang w:val="pt-BR" w:eastAsia="en-US" w:bidi="ar-SA"/>
        </w:rPr>
        <w:t>Fazenda Municipal</w:t>
      </w:r>
      <w:r>
        <w:rPr>
          <w:rFonts w:eastAsia="Times New Roman" w:cs="Arial"/>
          <w:i w:val="false"/>
          <w:iCs w:val="false"/>
          <w:color w:val="000000"/>
          <w:kern w:val="0"/>
          <w:sz w:val="22"/>
          <w:szCs w:val="22"/>
          <w:shd w:fill="auto" w:val="clear"/>
          <w:lang w:val="pt-BR" w:eastAsia="en-US" w:bidi="ar-SA"/>
        </w:rPr>
        <w:t xml:space="preserve"> do domicílio ou sede do fornecedor, relativa à atividade em cujo exercício contrata ou concorre;</w:t>
      </w:r>
    </w:p>
    <w:p>
      <w:pPr>
        <w:pStyle w:val="ListParagraph"/>
        <w:keepLines/>
        <w:numPr>
          <w:ilvl w:val="0"/>
          <w:numId w:val="0"/>
        </w:numPr>
        <w:tabs>
          <w:tab w:val="clear" w:pos="720"/>
          <w:tab w:val="left" w:pos="0" w:leader="none"/>
          <w:tab w:val="left" w:pos="851" w:leader="none"/>
          <w:tab w:val="left" w:pos="8052" w:leader="none"/>
        </w:tabs>
        <w:suppressAutoHyphens w:val="true"/>
        <w:spacing w:lineRule="auto" w:line="240" w:before="0" w:after="0"/>
        <w:ind w:left="0" w:right="45"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7.7 As ME e EPP deverão apresentar toda a documentação exigida para a habilitação, inclusive os documentos comprobatórios da regularidade fiscal, mesmo que estes apresentem alguma restrição.</w:t>
      </w:r>
    </w:p>
    <w:p>
      <w:pPr>
        <w:pStyle w:val="Normal"/>
        <w:keepLines/>
        <w:tabs>
          <w:tab w:val="clear" w:pos="720"/>
          <w:tab w:val="left" w:pos="284" w:leader="none"/>
          <w:tab w:val="left" w:pos="851" w:leader="none"/>
          <w:tab w:val="left" w:pos="8052" w:leader="none"/>
        </w:tabs>
        <w:spacing w:lineRule="auto" w:line="240"/>
        <w:ind w:left="0" w:right="45"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keepLines/>
        <w:widowControl w:val="false"/>
        <w:numPr>
          <w:ilvl w:val="0"/>
          <w:numId w:val="0"/>
        </w:numPr>
        <w:tabs>
          <w:tab w:val="clear" w:pos="720"/>
          <w:tab w:val="left" w:pos="284" w:leader="none"/>
          <w:tab w:val="left" w:pos="851" w:leader="none"/>
          <w:tab w:val="left" w:pos="8052" w:leader="none"/>
        </w:tabs>
        <w:spacing w:lineRule="auto" w:line="240" w:before="0" w:after="0"/>
        <w:ind w:left="0" w:right="45"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7.8 Havendo alguma restrição na comprovação da regularidade fiscal e trabalhista, os documentos relacionados no subitem 9.3,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conforme §1º, do art. 43, da Lei Complementar 123/06, e suas alterações. </w:t>
      </w:r>
    </w:p>
    <w:p>
      <w:pPr>
        <w:pStyle w:val="ListParagraph"/>
        <w:keepLines/>
        <w:tabs>
          <w:tab w:val="clear" w:pos="720"/>
          <w:tab w:val="left" w:pos="284" w:leader="none"/>
          <w:tab w:val="left" w:pos="851" w:leader="none"/>
          <w:tab w:val="left" w:pos="8052" w:leader="none"/>
        </w:tabs>
        <w:spacing w:lineRule="auto" w:line="240"/>
        <w:ind w:left="0" w:right="45"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keepLines/>
        <w:widowControl w:val="false"/>
        <w:numPr>
          <w:ilvl w:val="0"/>
          <w:numId w:val="0"/>
        </w:numPr>
        <w:tabs>
          <w:tab w:val="clear" w:pos="720"/>
          <w:tab w:val="left" w:pos="284" w:leader="none"/>
          <w:tab w:val="left" w:pos="851" w:leader="none"/>
          <w:tab w:val="left" w:pos="8052" w:leader="none"/>
        </w:tabs>
        <w:spacing w:lineRule="auto" w:line="240" w:before="0" w:after="0"/>
        <w:ind w:left="0" w:right="45"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7.9 A não-regularização da documentação no prazo previsto no subitem anterior, implicará decadência do direito à contratação, sem prejuízo das sanções previstas na Lei nº 8.666/93, sendo facultado à administração convocar os licitantes remanescentes, na ordem de classificação, ou decidir pela revogação da licitação. </w:t>
      </w:r>
    </w:p>
    <w:p>
      <w:pPr>
        <w:pStyle w:val="ListParagraph"/>
        <w:keepLines/>
        <w:tabs>
          <w:tab w:val="clear" w:pos="720"/>
          <w:tab w:val="left" w:pos="284" w:leader="none"/>
          <w:tab w:val="left" w:pos="851" w:leader="none"/>
          <w:tab w:val="left" w:pos="8052" w:leader="none"/>
        </w:tabs>
        <w:spacing w:lineRule="auto" w:line="240"/>
        <w:ind w:left="0" w:right="45"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ListParagraph"/>
        <w:tabs>
          <w:tab w:val="clear" w:pos="720"/>
          <w:tab w:val="left" w:pos="284" w:leader="none"/>
          <w:tab w:val="left" w:pos="851" w:leader="none"/>
          <w:tab w:val="left" w:pos="8052" w:leader="none"/>
        </w:tabs>
        <w:spacing w:lineRule="auto" w:line="240"/>
        <w:ind w:left="0" w:right="45"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8.  Habilitação Econômica Financeira</w:t>
            </w:r>
          </w:p>
        </w:tc>
      </w:tr>
    </w:tbl>
    <w:p>
      <w:pPr>
        <w:pStyle w:val="Default"/>
        <w:widowControl/>
        <w:numPr>
          <w:ilvl w:val="0"/>
          <w:numId w:val="0"/>
        </w:numPr>
        <w:tabs>
          <w:tab w:val="clear" w:pos="720"/>
          <w:tab w:val="left" w:pos="851" w:leader="none"/>
        </w:tabs>
        <w:suppressAutoHyphens w:val="false"/>
        <w:spacing w:lineRule="auto" w:line="240"/>
        <w:ind w:left="0" w:right="4" w:hanging="0"/>
        <w:jc w:val="both"/>
        <w:textAlignment w:val="auto"/>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Default"/>
        <w:widowControl/>
        <w:numPr>
          <w:ilvl w:val="0"/>
          <w:numId w:val="0"/>
        </w:numPr>
        <w:tabs>
          <w:tab w:val="clear" w:pos="720"/>
          <w:tab w:val="left" w:pos="851" w:leader="none"/>
        </w:tabs>
        <w:suppressAutoHyphens w:val="false"/>
        <w:spacing w:lineRule="auto" w:line="240"/>
        <w:ind w:left="0" w:right="4" w:hanging="0"/>
        <w:jc w:val="both"/>
        <w:textAlignment w:val="auto"/>
        <w:rPr/>
      </w:pPr>
      <w:r>
        <w:rPr>
          <w:rFonts w:eastAsia="Times New Roman" w:cs="Arial"/>
          <w:i w:val="false"/>
          <w:iCs w:val="false"/>
          <w:color w:val="000000"/>
          <w:kern w:val="0"/>
          <w:sz w:val="22"/>
          <w:szCs w:val="22"/>
          <w:shd w:fill="auto" w:val="clear"/>
          <w:lang w:val="pt-BR" w:eastAsia="en-US" w:bidi="ar-SA"/>
        </w:rPr>
        <w:t xml:space="preserve">8. 1 Certidão negativa de falência expedida pelo distribuidor da sede do fornecedor, emitida com antecedência máxima de 90 (noventa) dias da data fixada para entrega dos documentos ou com prazo de validade expresso. (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"http://www.planalto.gov.br/ccivil_03/_ato2019-2022/2021/lei/L14133.htm" \l "art69"</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Lei nº 14.133, de 2021, art. 69, caput, inciso II</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w:t>
      </w:r>
    </w:p>
    <w:p>
      <w:pPr>
        <w:pStyle w:val="Default"/>
        <w:tabs>
          <w:tab w:val="clear" w:pos="720"/>
          <w:tab w:val="left" w:pos="851" w:leader="none"/>
        </w:tabs>
        <w:spacing w:lineRule="auto" w:line="24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Default"/>
        <w:tabs>
          <w:tab w:val="clear" w:pos="720"/>
          <w:tab w:val="left" w:pos="851" w:leader="none"/>
        </w:tabs>
        <w:spacing w:lineRule="auto" w:line="24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(Se for o caso)</w:t>
      </w:r>
    </w:p>
    <w:p>
      <w:pPr>
        <w:pStyle w:val="Default"/>
        <w:tabs>
          <w:tab w:val="clear" w:pos="720"/>
          <w:tab w:val="left" w:pos="851" w:leader="none"/>
        </w:tabs>
        <w:spacing w:lineRule="auto" w:line="240"/>
        <w:jc w:val="both"/>
        <w:rPr>
          <w:rFonts w:ascii="Times New Roman" w:hAnsi="Times New Roman"/>
          <w:sz w:val="22"/>
          <w:szCs w:val="22"/>
        </w:rPr>
      </w:pPr>
      <w:r>
        <w:rPr>
          <w:rFonts w:eastAsia="Times New Roman" w:cs="Arial"/>
          <w:b/>
          <w:i w:val="false"/>
          <w:iCs w:val="false"/>
          <w:color w:val="3465A4"/>
          <w:kern w:val="0"/>
          <w:sz w:val="22"/>
          <w:szCs w:val="22"/>
          <w:shd w:fill="auto" w:val="clear"/>
          <w:lang w:val="pt-BR" w:eastAsia="en-US" w:bidi="ar-SA"/>
        </w:rPr>
        <w:t xml:space="preserve">8.2 </w:t>
      </w:r>
      <w:r>
        <w:rPr>
          <w:rFonts w:eastAsia="Times New Roman" w:cs="Arial"/>
          <w:i w:val="false"/>
          <w:iCs w:val="false"/>
          <w:color w:val="3465A4"/>
          <w:kern w:val="0"/>
          <w:sz w:val="22"/>
          <w:szCs w:val="22"/>
          <w:shd w:fill="auto" w:val="clear"/>
          <w:lang w:val="pt-BR" w:eastAsia="en-US" w:bidi="ar-SA"/>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os demais requisitos de habilitação.</w:t>
      </w:r>
    </w:p>
    <w:p>
      <w:pPr>
        <w:pStyle w:val="Default"/>
        <w:tabs>
          <w:tab w:val="clear" w:pos="720"/>
          <w:tab w:val="left" w:pos="0" w:leader="none"/>
          <w:tab w:val="left" w:pos="851" w:leader="none"/>
        </w:tabs>
        <w:spacing w:lineRule="auto" w:line="240"/>
        <w:jc w:val="both"/>
        <w:rPr>
          <w:rFonts w:ascii="Times New Roman" w:hAnsi="Times New Roman" w:eastAsia="Times New Roman" w:cs="Arial"/>
          <w:i w:val="false"/>
          <w:i w:val="false"/>
          <w:iCs w:val="false"/>
          <w:color w:val="3465A4"/>
          <w:kern w:val="0"/>
          <w:sz w:val="22"/>
          <w:szCs w:val="22"/>
          <w:shd w:fill="auto" w:val="clear"/>
          <w:lang w:val="pt-BR" w:eastAsia="en-US" w:bidi="ar-SA"/>
        </w:rPr>
      </w:pPr>
      <w:r>
        <w:rPr>
          <w:rFonts w:eastAsia="Times New Roman" w:cs="Arial"/>
          <w:i w:val="false"/>
          <w:iCs w:val="false"/>
          <w:color w:val="3465A4"/>
          <w:kern w:val="0"/>
          <w:sz w:val="22"/>
          <w:szCs w:val="22"/>
          <w:shd w:fill="auto" w:val="clear"/>
          <w:lang w:val="pt-BR" w:eastAsia="en-US" w:bidi="ar-SA"/>
        </w:rPr>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8.3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sz w:val="22"/>
          <w:szCs w:val="22"/>
        </w:rPr>
      </w:pPr>
      <w:r>
        <mc:AlternateContent>
          <mc:Choice Requires="wps">
            <w:drawing>
              <wp:anchor behindDoc="0" distT="5080" distB="5080" distL="5080" distR="5080" simplePos="0" locked="0" layoutInCell="0" allowOverlap="1" relativeHeight="58" wp14:anchorId="53DE185A">
                <wp:simplePos x="0" y="0"/>
                <wp:positionH relativeFrom="column">
                  <wp:posOffset>1699260</wp:posOffset>
                </wp:positionH>
                <wp:positionV relativeFrom="paragraph">
                  <wp:posOffset>159385</wp:posOffset>
                </wp:positionV>
                <wp:extent cx="2819400" cy="9525"/>
                <wp:effectExtent l="5080" t="5080" r="5080" b="5080"/>
                <wp:wrapNone/>
                <wp:docPr id="2" name="Conector reto 5"/>
                <a:graphic xmlns:a="http://schemas.openxmlformats.org/drawingml/2006/main">
                  <a:graphicData uri="http://schemas.microsoft.com/office/word/2010/wordprocessingShape">
                    <wps:wsp>
                      <wps:cNvSpPr/>
                      <wps:spPr>
                        <a:xfrm flipV="1">
                          <a:off x="0" y="0"/>
                          <a:ext cx="2819520" cy="936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3.8pt,12.55pt" to="355.75pt,13.25pt" ID="Conector reto 5" stroked="t" o:allowincell="f" style="position:absolute;flip:y" wp14:anchorId="53DE185A">
                <v:stroke color="black" weight="9360" joinstyle="round" endcap="flat"/>
                <v:fill o:detectmouseclick="t" on="false"/>
                <w10:wrap type="none"/>
              </v:line>
            </w:pict>
          </mc:Fallback>
        </mc:AlternateContent>
      </w:r>
      <w:r>
        <w:rPr>
          <w:rFonts w:eastAsia="Times New Roman" w:cs="Arial"/>
          <w:i w:val="false"/>
          <w:iCs w:val="false"/>
          <w:color w:val="3465A4"/>
          <w:kern w:val="0"/>
          <w:sz w:val="22"/>
          <w:szCs w:val="22"/>
          <w:shd w:fill="auto" w:val="clear"/>
          <w:lang w:val="pt-BR" w:eastAsia="en-US" w:bidi="ar-SA"/>
        </w:rPr>
        <w:t>I – Liquidez Geral (LG)  =   (Ativo Circulante + Realizável a Longo Prazo)</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 xml:space="preserve">                                           </w:t>
      </w:r>
      <w:r>
        <w:rPr>
          <w:rFonts w:eastAsia="Times New Roman" w:cs="Arial"/>
          <w:i w:val="false"/>
          <w:iCs w:val="false"/>
          <w:color w:val="3465A4"/>
          <w:kern w:val="0"/>
          <w:sz w:val="22"/>
          <w:szCs w:val="22"/>
          <w:shd w:fill="auto" w:val="clear"/>
          <w:lang w:val="pt-BR" w:eastAsia="en-US" w:bidi="ar-SA"/>
        </w:rPr>
        <w:t>(Passivo Circulante + Passivo Não Circulante);</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eastAsia="Times New Roman" w:cs="Arial"/>
          <w:i w:val="false"/>
          <w:i w:val="false"/>
          <w:iCs w:val="false"/>
          <w:color w:val="3465A4"/>
          <w:kern w:val="0"/>
          <w:sz w:val="22"/>
          <w:szCs w:val="22"/>
          <w:shd w:fill="auto" w:val="clear"/>
          <w:lang w:val="pt-BR" w:eastAsia="en-US" w:bidi="ar-SA"/>
        </w:rPr>
      </w:pPr>
      <w:r>
        <w:rPr>
          <w:rFonts w:eastAsia="Times New Roman" w:cs="Arial"/>
          <w:i w:val="false"/>
          <w:iCs w:val="false"/>
          <w:color w:val="3465A4"/>
          <w:kern w:val="0"/>
          <w:sz w:val="22"/>
          <w:szCs w:val="22"/>
          <w:shd w:fill="auto" w:val="clear"/>
          <w:lang w:val="pt-BR" w:eastAsia="en-US" w:bidi="ar-SA"/>
        </w:rPr>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sz w:val="22"/>
          <w:szCs w:val="22"/>
        </w:rPr>
      </w:pPr>
      <w:r>
        <mc:AlternateContent>
          <mc:Choice Requires="wps">
            <w:drawing>
              <wp:anchor behindDoc="0" distT="5080" distB="5080" distL="5080" distR="5080" simplePos="0" locked="0" layoutInCell="0" allowOverlap="1" relativeHeight="59" wp14:anchorId="18277192">
                <wp:simplePos x="0" y="0"/>
                <wp:positionH relativeFrom="column">
                  <wp:posOffset>1695450</wp:posOffset>
                </wp:positionH>
                <wp:positionV relativeFrom="paragraph">
                  <wp:posOffset>180340</wp:posOffset>
                </wp:positionV>
                <wp:extent cx="2819400" cy="9525"/>
                <wp:effectExtent l="5080" t="5080" r="5080" b="5080"/>
                <wp:wrapNone/>
                <wp:docPr id="3" name="Conector reto 6"/>
                <a:graphic xmlns:a="http://schemas.openxmlformats.org/drawingml/2006/main">
                  <a:graphicData uri="http://schemas.microsoft.com/office/word/2010/wordprocessingShape">
                    <wps:wsp>
                      <wps:cNvSpPr/>
                      <wps:spPr>
                        <a:xfrm flipV="1">
                          <a:off x="0" y="0"/>
                          <a:ext cx="2819520" cy="936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3.5pt,14.2pt" to="355.45pt,14.9pt" ID="Conector reto 6" stroked="t" o:allowincell="f" style="position:absolute;flip:y" wp14:anchorId="18277192">
                <v:stroke color="black" weight="9360" joinstyle="round" endcap="flat"/>
                <v:fill o:detectmouseclick="t" on="false"/>
                <w10:wrap type="none"/>
              </v:line>
            </w:pict>
          </mc:Fallback>
        </mc:AlternateContent>
      </w:r>
      <w:r>
        <w:rPr>
          <w:rFonts w:eastAsia="Times New Roman" w:cs="Arial"/>
          <w:i w:val="false"/>
          <w:iCs w:val="false"/>
          <w:color w:val="3465A4"/>
          <w:kern w:val="0"/>
          <w:sz w:val="22"/>
          <w:szCs w:val="22"/>
          <w:shd w:fill="auto" w:val="clear"/>
          <w:lang w:val="pt-BR" w:eastAsia="en-US" w:bidi="ar-SA"/>
        </w:rPr>
        <w:t xml:space="preserve">II – Solvência Geral (SG) =                         (Ativo Total) </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 xml:space="preserve">                                           </w:t>
      </w:r>
      <w:r>
        <w:rPr>
          <w:rFonts w:eastAsia="Times New Roman" w:cs="Arial"/>
          <w:i w:val="false"/>
          <w:iCs w:val="false"/>
          <w:color w:val="3465A4"/>
          <w:kern w:val="0"/>
          <w:sz w:val="22"/>
          <w:szCs w:val="22"/>
          <w:shd w:fill="auto" w:val="clear"/>
          <w:lang w:val="pt-BR" w:eastAsia="en-US" w:bidi="ar-SA"/>
        </w:rPr>
        <w:t>(Passivo Circulante +Passivo não Circulante);</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eastAsia="Times New Roman" w:cs="Arial"/>
          <w:i w:val="false"/>
          <w:i w:val="false"/>
          <w:iCs w:val="false"/>
          <w:color w:val="3465A4"/>
          <w:kern w:val="0"/>
          <w:sz w:val="22"/>
          <w:szCs w:val="22"/>
          <w:shd w:fill="auto" w:val="clear"/>
          <w:lang w:val="pt-BR" w:eastAsia="en-US" w:bidi="ar-SA"/>
        </w:rPr>
      </w:pPr>
      <w:r>
        <w:rPr>
          <w:rFonts w:eastAsia="Times New Roman" w:cs="Arial"/>
          <w:i w:val="false"/>
          <w:iCs w:val="false"/>
          <w:color w:val="3465A4"/>
          <w:kern w:val="0"/>
          <w:sz w:val="22"/>
          <w:szCs w:val="22"/>
          <w:shd w:fill="auto" w:val="clear"/>
          <w:lang w:val="pt-BR" w:eastAsia="en-US" w:bidi="ar-SA"/>
        </w:rPr>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sz w:val="22"/>
          <w:szCs w:val="22"/>
        </w:rPr>
      </w:pPr>
      <w:r>
        <mc:AlternateContent>
          <mc:Choice Requires="wps">
            <w:drawing>
              <wp:anchor behindDoc="0" distT="5080" distB="5080" distL="5080" distR="5080" simplePos="0" locked="0" layoutInCell="0" allowOverlap="1" relativeHeight="60" wp14:anchorId="7E0CEB1D">
                <wp:simplePos x="0" y="0"/>
                <wp:positionH relativeFrom="column">
                  <wp:posOffset>1743075</wp:posOffset>
                </wp:positionH>
                <wp:positionV relativeFrom="paragraph">
                  <wp:posOffset>170815</wp:posOffset>
                </wp:positionV>
                <wp:extent cx="2819400" cy="9525"/>
                <wp:effectExtent l="5080" t="5080" r="5080" b="5080"/>
                <wp:wrapNone/>
                <wp:docPr id="4" name="Conector reto 9"/>
                <a:graphic xmlns:a="http://schemas.openxmlformats.org/drawingml/2006/main">
                  <a:graphicData uri="http://schemas.microsoft.com/office/word/2010/wordprocessingShape">
                    <wps:wsp>
                      <wps:cNvSpPr/>
                      <wps:spPr>
                        <a:xfrm flipV="1">
                          <a:off x="0" y="0"/>
                          <a:ext cx="2819520" cy="936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7.25pt,13.45pt" to="359.2pt,14.15pt" ID="Conector reto 9" stroked="t" o:allowincell="f" style="position:absolute;flip:y" wp14:anchorId="7E0CEB1D">
                <v:stroke color="black" weight="9360" joinstyle="round" endcap="flat"/>
                <v:fill o:detectmouseclick="t" on="false"/>
                <w10:wrap type="none"/>
              </v:line>
            </w:pict>
          </mc:Fallback>
        </mc:AlternateContent>
      </w:r>
      <w:r>
        <w:rPr>
          <w:rFonts w:eastAsia="Times New Roman" w:cs="Arial"/>
          <w:i w:val="false"/>
          <w:iCs w:val="false"/>
          <w:color w:val="3465A4"/>
          <w:kern w:val="0"/>
          <w:sz w:val="22"/>
          <w:szCs w:val="22"/>
          <w:shd w:fill="auto" w:val="clear"/>
          <w:lang w:val="pt-BR" w:eastAsia="en-US" w:bidi="ar-SA"/>
        </w:rPr>
        <w:t xml:space="preserve">III – Liquidez Corrente (LC)=                   (Ativo Circulante) </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 xml:space="preserve">                                                              </w:t>
      </w:r>
      <w:r>
        <w:rPr>
          <w:rFonts w:eastAsia="Times New Roman" w:cs="Arial"/>
          <w:i w:val="false"/>
          <w:iCs w:val="false"/>
          <w:color w:val="3465A4"/>
          <w:kern w:val="0"/>
          <w:sz w:val="22"/>
          <w:szCs w:val="22"/>
          <w:shd w:fill="auto" w:val="clear"/>
          <w:lang w:val="pt-BR" w:eastAsia="en-US" w:bidi="ar-SA"/>
        </w:rPr>
        <w:t>(Passivo Circulante).</w:t>
      </w:r>
    </w:p>
    <w:p>
      <w:pPr>
        <w:pStyle w:val="Nivel2"/>
        <w:numPr>
          <w:ilvl w:val="0"/>
          <w:numId w:val="0"/>
        </w:numPr>
        <w:tabs>
          <w:tab w:val="clear" w:pos="720"/>
          <w:tab w:val="left" w:pos="0" w:leader="none"/>
          <w:tab w:val="left" w:pos="851" w:leader="none"/>
        </w:tabs>
        <w:spacing w:lineRule="auto" w:line="240" w:before="120" w:after="288"/>
        <w:ind w:left="0" w:right="4" w:hanging="0"/>
        <w:contextualSpacing/>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 xml:space="preserve">8.4 Caso a empresa licitante apresente resultado inferior ou igual a 1 (um) em qualquer dos índices de Liquidez Geral (LG), Solvência Geral (SG) e Liquidez Corrente (LC), será exigido para fins de habilitação [capital mínimo] </w:t>
      </w:r>
      <w:r>
        <w:rPr>
          <w:rFonts w:eastAsia="Times New Roman" w:cs="Arial"/>
          <w:i w:val="false"/>
          <w:iCs w:val="false"/>
          <w:color w:val="3465A4"/>
          <w:kern w:val="0"/>
          <w:sz w:val="22"/>
          <w:szCs w:val="22"/>
          <w:u w:val="single"/>
          <w:shd w:fill="auto" w:val="clear"/>
          <w:lang w:val="pt-BR" w:eastAsia="en-US" w:bidi="ar-SA"/>
        </w:rPr>
        <w:t>OU</w:t>
      </w:r>
      <w:r>
        <w:rPr>
          <w:rFonts w:eastAsia="Times New Roman" w:cs="Arial"/>
          <w:i w:val="false"/>
          <w:iCs w:val="false"/>
          <w:color w:val="3465A4"/>
          <w:kern w:val="0"/>
          <w:sz w:val="22"/>
          <w:szCs w:val="22"/>
          <w:shd w:fill="auto" w:val="clear"/>
          <w:lang w:val="pt-BR" w:eastAsia="en-US" w:bidi="ar-SA"/>
        </w:rPr>
        <w:t xml:space="preserve"> [patrimônio líquido mínimo] de ......% [até 10%] do [valor total estimado da contratação] </w:t>
      </w:r>
      <w:r>
        <w:rPr>
          <w:rFonts w:eastAsia="Times New Roman" w:cs="Arial"/>
          <w:i w:val="false"/>
          <w:iCs w:val="false"/>
          <w:color w:val="3465A4"/>
          <w:kern w:val="0"/>
          <w:sz w:val="22"/>
          <w:szCs w:val="22"/>
          <w:u w:val="single"/>
          <w:shd w:fill="auto" w:val="clear"/>
          <w:lang w:val="pt-BR" w:eastAsia="en-US" w:bidi="ar-SA"/>
        </w:rPr>
        <w:t>OU</w:t>
      </w:r>
      <w:r>
        <w:rPr>
          <w:rFonts w:eastAsia="Times New Roman" w:cs="Arial"/>
          <w:i w:val="false"/>
          <w:iCs w:val="false"/>
          <w:color w:val="3465A4"/>
          <w:kern w:val="0"/>
          <w:sz w:val="22"/>
          <w:szCs w:val="22"/>
          <w:shd w:fill="auto" w:val="clear"/>
          <w:lang w:val="pt-BR" w:eastAsia="en-US" w:bidi="ar-SA"/>
        </w:rPr>
        <w:t xml:space="preserve"> [valor total estimado da parcela pertinente].</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8.5 As empresas criadas no exercício financeiro da licitação deverão atender a todas as exigências da habilitação e poderão substituir os demonstrativos contábeis pelo balanço de abertura. (Lei nº 14.133, de 2021, art. 65, §1º).</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8.6 O balanço patrimonial, demonstração de resultado de exercício e demais demonstrações contábeis limitar-se-ão ao último exercício no caso de a pessoa jurídica ter sido constituída há menos de 2 (dois) anos. (Lei nº 14.133, de 2021, art. 69, §6º)</w:t>
      </w:r>
    </w:p>
    <w:p>
      <w:pPr>
        <w:pStyle w:val="Nvel2Red"/>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8.7 O atendimento dos índices econômicos previstos neste item deverá ser atestado mediante declaração assinada por profissional habilitado da área contábil, apresentada pelo fornecedor</w:t>
      </w:r>
      <w:r>
        <w:rPr>
          <w:rFonts w:eastAsia="Times New Roman" w:cs="Arial"/>
          <w:i w:val="false"/>
          <w:iCs w:val="false"/>
          <w:color w:val="000000"/>
          <w:kern w:val="0"/>
          <w:sz w:val="22"/>
          <w:szCs w:val="22"/>
          <w:shd w:fill="auto" w:val="clear"/>
          <w:lang w:val="pt-BR" w:eastAsia="en-US" w:bidi="ar-SA"/>
        </w:rPr>
        <w:t>.</w:t>
      </w:r>
    </w:p>
    <w:p>
      <w:pPr>
        <w:pStyle w:val="Nvel2Red"/>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8.8 No caso de fornecimento de bens para pronta entrega, não será exigido da licitante qualificada como microempresa ou empresa de pequeno porte, a apresentação de balanço patrimonial do último exercício financeiro. (Art. 3º do Decreto nº 8.538/2015);</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9. Habilitação – Qualificação Técnica</w:t>
            </w:r>
          </w:p>
        </w:tc>
      </w:tr>
    </w:tbl>
    <w:p>
      <w:pPr>
        <w:pStyle w:val="Nvel2Red"/>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9.1 Registro ou inscrição da empresa na entidade profissional .........(escrever por extenso, se o caso), em plena validade; Nota: quando aplicável ao objeto.</w:t>
      </w:r>
    </w:p>
    <w:p>
      <w:pPr>
        <w:pStyle w:val="Nvel2Red"/>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9.2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Nota: quando aplicável ao objeto.</w:t>
      </w:r>
    </w:p>
    <w:p>
      <w:pPr>
        <w:pStyle w:val="Nvel3R"/>
        <w:widowControl/>
        <w:numPr>
          <w:ilvl w:val="0"/>
          <w:numId w:val="0"/>
        </w:numPr>
        <w:tabs>
          <w:tab w:val="clear" w:pos="720"/>
          <w:tab w:val="left" w:pos="851" w:leader="none"/>
        </w:tabs>
        <w:suppressAutoHyphens w:val="true"/>
        <w:bidi w:val="0"/>
        <w:spacing w:lineRule="auto" w:line="240" w:before="120" w:after="288"/>
        <w:ind w:left="-113" w:right="0"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9.3 Para fins da comprovação de que trata este subitem, os atestados deverão dizer respeito a contratos executados com as seguintes características mínimas: XXXIX.</w:t>
      </w:r>
    </w:p>
    <w:p>
      <w:pPr>
        <w:pStyle w:val="Nvel4R"/>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ascii="Times New Roman" w:hAnsi="Times New Roman"/>
          <w:i w:val="false"/>
          <w:iCs w:val="false"/>
          <w:color w:val="3465A4"/>
          <w:kern w:val="0"/>
          <w:sz w:val="22"/>
          <w:szCs w:val="22"/>
          <w:shd w:fill="auto" w:val="clear"/>
          <w:lang w:val="pt-BR" w:eastAsia="en-US" w:bidi="ar-SA"/>
        </w:rPr>
        <w:t>9.4.. Acrescentar se necessário</w:t>
      </w:r>
    </w:p>
    <w:p>
      <w:pPr>
        <w:pStyle w:val="Nvel3R"/>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9.5 Será admitida, para fins de comprovação de quantitativo mínimo, a apresentação e o somatório de diferentes atestados executados de forma concomitante.</w:t>
      </w:r>
    </w:p>
    <w:p>
      <w:pPr>
        <w:pStyle w:val="Nvel3R"/>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9.6 Os atestados de capacidade técnica poderão ser apresentados em nome da matriz ou da filial do fornecedor.</w:t>
      </w:r>
    </w:p>
    <w:p>
      <w:pPr>
        <w:pStyle w:val="Nvel3R"/>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9.7 O fornecedor disponibilizará todas as informações necessárias à comprovação da legitimidade dos atestados, apresentando, quando solicitado pela Administração, cópia do contrato que deu suporte à</w:t>
      </w:r>
      <w:r>
        <w:rPr>
          <w:rFonts w:eastAsia="Times New Roman" w:cs="Arial"/>
          <w:i w:val="false"/>
          <w:iCs w:val="false"/>
          <w:color w:val="000000"/>
          <w:kern w:val="0"/>
          <w:sz w:val="22"/>
          <w:szCs w:val="22"/>
          <w:highlight w:val="yellow"/>
          <w:shd w:fill="auto" w:val="clear"/>
          <w:lang w:val="pt-BR" w:eastAsia="en-US" w:bidi="ar-SA"/>
        </w:rPr>
        <w:t xml:space="preserve"> </w:t>
      </w:r>
      <w:r>
        <w:rPr>
          <w:rFonts w:eastAsia="Times New Roman" w:cs="Arial"/>
          <w:i w:val="false"/>
          <w:iCs w:val="false"/>
          <w:color w:val="3465A4"/>
          <w:kern w:val="0"/>
          <w:sz w:val="22"/>
          <w:szCs w:val="22"/>
          <w:shd w:fill="auto" w:val="clear"/>
          <w:lang w:val="pt-BR" w:eastAsia="en-US" w:bidi="ar-SA"/>
        </w:rPr>
        <w:t>contratação, endereço atual da contratante e local em que foi executado o objeto contratado, dentre outros documentos.</w:t>
      </w:r>
    </w:p>
    <w:p>
      <w:pPr>
        <w:pStyle w:val="Nvel3R"/>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3465A4"/>
          <w:kern w:val="0"/>
          <w:sz w:val="22"/>
          <w:szCs w:val="22"/>
          <w:shd w:fill="auto" w:val="clear"/>
          <w:lang w:val="pt-BR" w:eastAsia="en-US" w:bidi="ar-SA"/>
        </w:rPr>
        <w:t xml:space="preserve">9.8 Prova de atendimento aos requisitos ........, previstos na lei ............: </w:t>
      </w:r>
    </w:p>
    <w:p>
      <w:pPr>
        <w:pStyle w:val="Nivel2"/>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9.9 Caso admitida a participação de cooperativas, será exigida a seguinte documentação complementar:</w:t>
      </w:r>
    </w:p>
    <w:p>
      <w:pPr>
        <w:pStyle w:val="Nivel3"/>
        <w:numPr>
          <w:ilvl w:val="0"/>
          <w:numId w:val="0"/>
        </w:numPr>
        <w:tabs>
          <w:tab w:val="clear" w:pos="720"/>
          <w:tab w:val="left" w:pos="851" w:leader="none"/>
        </w:tabs>
        <w:spacing w:lineRule="auto" w:line="240" w:before="120" w:after="288"/>
        <w:ind w:left="0" w:right="4" w:hanging="0"/>
        <w:jc w:val="both"/>
        <w:rPr/>
      </w:pPr>
      <w:r>
        <w:rPr>
          <w:rFonts w:eastAsia="Times New Roman" w:cs="Arial"/>
          <w:i w:val="false"/>
          <w:iCs w:val="false"/>
          <w:color w:val="000000"/>
          <w:kern w:val="0"/>
          <w:sz w:val="22"/>
          <w:szCs w:val="22"/>
          <w:shd w:fill="auto" w:val="clear"/>
          <w:lang w:val="pt-BR" w:eastAsia="en-US" w:bidi="ar-SA"/>
        </w:rPr>
        <w:t xml:space="preserve">9.9.1 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"https://www.planalto.gov.br/ccivil_03/leis/l5764.htm" \l "art4"</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arts. 4º, inciso XI, 21, inciso I</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 xml:space="preserve"> e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"https://www.planalto.gov.br/ccivil_03/leis/l5764.htm" \l "art42"</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42, §§2º a 6º da Lei n. 5.764, de 1971</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w:t>
      </w:r>
    </w:p>
    <w:p>
      <w:pPr>
        <w:pStyle w:val="Nivel3"/>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9.9.2 A declaração de regularidade de situação do contribuinte individual – DRSCI, para cada um dos cooperados indicados;</w:t>
      </w:r>
    </w:p>
    <w:p>
      <w:pPr>
        <w:pStyle w:val="Nivel3"/>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9.9.3 A comprovação do capital social proporcional ao número de cooperados necessários à prestação do serviço; </w:t>
      </w:r>
    </w:p>
    <w:p>
      <w:pPr>
        <w:pStyle w:val="Nivel3"/>
        <w:numPr>
          <w:ilvl w:val="0"/>
          <w:numId w:val="0"/>
        </w:numPr>
        <w:tabs>
          <w:tab w:val="clear" w:pos="720"/>
          <w:tab w:val="left" w:pos="851" w:leader="none"/>
        </w:tabs>
        <w:spacing w:lineRule="auto" w:line="240" w:before="120" w:after="288"/>
        <w:ind w:left="0" w:right="4" w:hanging="0"/>
        <w:jc w:val="both"/>
        <w:rPr/>
      </w:pPr>
      <w:r>
        <w:rPr>
          <w:rFonts w:eastAsia="Times New Roman" w:cs="Arial"/>
          <w:i w:val="false"/>
          <w:iCs w:val="false"/>
          <w:color w:val="000000"/>
          <w:kern w:val="0"/>
          <w:sz w:val="22"/>
          <w:szCs w:val="22"/>
          <w:shd w:fill="auto" w:val="clear"/>
          <w:lang w:val="pt-BR" w:eastAsia="en-US" w:bidi="ar-SA"/>
        </w:rPr>
        <w:t xml:space="preserve">9.9.4 O registro previsto na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"https://www.planalto.gov.br/ccivil_03/leis/l5764.htm" \l "art107"</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Lei n. 5.764, de 1971, art. 107</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w:t>
      </w:r>
    </w:p>
    <w:p>
      <w:pPr>
        <w:pStyle w:val="Nivel3"/>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9.9.5.A comprovação de integração das respectivas quotas-partes por parte dos cooperados que executarão o contrato; e</w:t>
      </w:r>
    </w:p>
    <w:p>
      <w:pPr>
        <w:pStyle w:val="Nivel3"/>
        <w:numPr>
          <w:ilvl w:val="0"/>
          <w:numId w:val="0"/>
        </w:numPr>
        <w:tabs>
          <w:tab w:val="clear" w:pos="720"/>
          <w:tab w:val="left" w:pos="851" w:leader="none"/>
        </w:tabs>
        <w:spacing w:lineRule="auto" w:line="240" w:before="120"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9.9.6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Nivel3"/>
        <w:numPr>
          <w:ilvl w:val="0"/>
          <w:numId w:val="0"/>
        </w:numPr>
        <w:tabs>
          <w:tab w:val="clear" w:pos="720"/>
          <w:tab w:val="left" w:pos="851" w:leader="none"/>
        </w:tabs>
        <w:spacing w:lineRule="auto" w:line="240" w:before="120" w:after="288"/>
        <w:ind w:left="0" w:right="4" w:hanging="0"/>
        <w:jc w:val="both"/>
        <w:rPr/>
      </w:pPr>
      <w:r>
        <w:rPr>
          <w:rFonts w:eastAsia="Times New Roman" w:cs="Arial"/>
          <w:i w:val="false"/>
          <w:iCs w:val="false"/>
          <w:color w:val="000000"/>
          <w:kern w:val="0"/>
          <w:sz w:val="22"/>
          <w:szCs w:val="22"/>
          <w:shd w:fill="auto" w:val="clear"/>
          <w:lang w:val="pt-BR" w:eastAsia="en-US" w:bidi="ar-SA"/>
        </w:rPr>
        <w:t xml:space="preserve">9.9.7 última auditoria contábil-financeira da cooperativa, conforme dispõe o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"https://www.planalto.gov.br/ccivil_03/leis/l5764.htm" \l "art112"</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art. 112 da Lei n. 5.764, de 1971</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 xml:space="preserve">, ou uma declaração, sob as penas da lei, de que tal auditoria não foi exigida pelo órgão </w:t>
      </w:r>
    </w:p>
    <w:p>
      <w:pPr>
        <w:pStyle w:val="Nivel3"/>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9.10 Quando permitida a participação de empresas estrangeiras que não funcionem no País, as exigências de habilitação serão atendidas mediante documentos equivalentes, inicialmente apresentados em tradução livre.</w:t>
      </w:r>
    </w:p>
    <w:p>
      <w:pPr>
        <w:pStyle w:val="Nivel3"/>
        <w:numPr>
          <w:ilvl w:val="0"/>
          <w:numId w:val="0"/>
        </w:numPr>
        <w:tabs>
          <w:tab w:val="clear" w:pos="720"/>
          <w:tab w:val="left" w:pos="0" w:leader="none"/>
          <w:tab w:val="left" w:pos="851" w:leader="none"/>
        </w:tabs>
        <w:spacing w:lineRule="auto" w:line="240" w:before="288" w:after="288"/>
        <w:ind w:left="0" w:right="4" w:hanging="0"/>
        <w:jc w:val="both"/>
        <w:rPr/>
      </w:pPr>
      <w:r>
        <w:rPr>
          <w:rFonts w:eastAsia="Times New Roman" w:cs="Arial"/>
          <w:i w:val="false"/>
          <w:iCs w:val="false"/>
          <w:color w:val="000000"/>
          <w:kern w:val="0"/>
          <w:sz w:val="22"/>
          <w:szCs w:val="22"/>
          <w:shd w:fill="auto" w:val="clear"/>
          <w:lang w:val="pt-BR" w:eastAsia="en-US" w:bidi="ar-SA"/>
        </w:rPr>
        <w:t xml:space="preserve">9.10.1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9">
        <w:r>
          <w:rPr>
            <w:rStyle w:val="LinkdaInternet"/>
            <w:rFonts w:eastAsia="Times New Roman" w:cs="Arial"/>
            <w:i w:val="false"/>
            <w:iCs w:val="false"/>
            <w:color w:val="000000"/>
            <w:kern w:val="0"/>
            <w:sz w:val="22"/>
            <w:szCs w:val="22"/>
            <w:shd w:fill="auto" w:val="clear"/>
            <w:lang w:val="pt-BR" w:eastAsia="en-US" w:bidi="ar-SA"/>
          </w:rPr>
          <w:t>Decreto nº 8.660, de 29 de janeiro de 2016</w:t>
        </w:r>
      </w:hyperlink>
      <w:r>
        <w:rPr>
          <w:rFonts w:eastAsia="Times New Roman" w:cs="Arial"/>
          <w:i w:val="false"/>
          <w:iCs w:val="false"/>
          <w:color w:val="000000"/>
          <w:kern w:val="0"/>
          <w:sz w:val="22"/>
          <w:szCs w:val="22"/>
          <w:shd w:fill="auto" w:val="clear"/>
          <w:lang w:val="pt-BR" w:eastAsia="en-US" w:bidi="ar-SA"/>
        </w:rPr>
        <w:t>, ou de outro que venha a substituí-lo, ou consularizados pelos respectivos consulados ou embaixadas.</w:t>
      </w:r>
    </w:p>
    <w:p>
      <w:pPr>
        <w:pStyle w:val="Nivel2"/>
        <w:numPr>
          <w:ilvl w:val="0"/>
          <w:numId w:val="0"/>
        </w:numPr>
        <w:tabs>
          <w:tab w:val="clear" w:pos="720"/>
          <w:tab w:val="left" w:pos="851" w:leader="none"/>
        </w:tabs>
        <w:spacing w:lineRule="auto" w:line="240" w:before="288" w:after="288"/>
        <w:ind w:left="0" w:right="4" w:hanging="0"/>
        <w:jc w:val="both"/>
        <w:rPr/>
      </w:pPr>
      <w:r>
        <w:rPr>
          <w:rFonts w:eastAsia="Times New Roman" w:cs="Arial"/>
          <w:i w:val="false"/>
          <w:iCs w:val="false"/>
          <w:color w:val="000000"/>
          <w:kern w:val="0"/>
          <w:sz w:val="22"/>
          <w:szCs w:val="22"/>
          <w:shd w:fill="auto" w:val="clear"/>
          <w:lang w:val="pt-BR" w:eastAsia="en-US" w:bidi="ar-SA"/>
        </w:rPr>
        <w:t>9.11Será verificado se o licitante apresentou declaração de que atende aos requisitos de habilitação, e o declarante responderá pela veracidade das informações prestadas, na forma da lei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"http://www.planalto.gov.br/ccivil_03/_ato2019-2022/2021/lei/L14133.htm" \l "art63"</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art. 63, I, da Lei nº 14.133/2021</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9.12 Será verificado se o licitante apresentou, sob pena de inabilitação, a declaração de que cumpre as exigências de reserva de cargos para pessoa com deficiência e para reabilitado da Previdência Social, previstas em lei e em outras normas específicas.</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9.13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9.14 Os documentos relativos à regularidade fiscal somente serão exigidos, em qualquer caso, em momento posterior ao julgamento das propostas, e apenas do licitante mais bem classificado.</w:t>
      </w:r>
    </w:p>
    <w:p>
      <w:pPr>
        <w:pStyle w:val="Nivel2"/>
        <w:numPr>
          <w:ilvl w:val="0"/>
          <w:numId w:val="0"/>
        </w:numPr>
        <w:tabs>
          <w:tab w:val="clear" w:pos="720"/>
          <w:tab w:val="left" w:pos="851" w:leader="none"/>
        </w:tabs>
        <w:spacing w:lineRule="auto" w:line="240" w:before="288" w:after="288"/>
        <w:ind w:left="0" w:right="4" w:hanging="0"/>
        <w:jc w:val="both"/>
        <w:rPr/>
      </w:pPr>
      <w:r>
        <w:rPr>
          <w:rFonts w:eastAsia="Times New Roman" w:cs="Arial"/>
          <w:i w:val="false"/>
          <w:iCs w:val="false"/>
          <w:color w:val="000000"/>
          <w:kern w:val="0"/>
          <w:sz w:val="22"/>
          <w:szCs w:val="22"/>
          <w:shd w:fill="auto" w:val="clear"/>
          <w:lang w:val="pt-BR" w:eastAsia="en-US" w:bidi="ar-SA"/>
        </w:rPr>
        <w:t>9.15 Após a entrega dos documentos para habilitação, não será permitida a substituição ou a apresentação de novos documentos, salvo em sede de diligência, para (</w:t>
      </w:r>
      <w:r>
        <w:fldChar w:fldCharType="begin"/>
      </w:r>
      <w:r>
        <w:rPr>
          <w:rStyle w:val="LinkdaInternet"/>
          <w:sz w:val="22"/>
          <w:i w:val="false"/>
          <w:kern w:val="0"/>
          <w:shd w:fill="auto" w:val="clear"/>
          <w:szCs w:val="22"/>
          <w:iCs w:val="false"/>
          <w:rFonts w:eastAsia="Times New Roman" w:cs="Arial"/>
          <w:color w:val="000000"/>
          <w:lang w:val="pt-BR" w:eastAsia="en-US" w:bidi="ar-SA"/>
        </w:rPr>
        <w:instrText xml:space="preserve"> HYPERLINK "http://www.planalto.gov.br/ccivil_03/_ato2019-2022/2021/lei/L14133.htm" \l "art64"</w:instrText>
      </w:r>
      <w:r>
        <w:rPr>
          <w:rStyle w:val="LinkdaInternet"/>
          <w:sz w:val="22"/>
          <w:i w:val="false"/>
          <w:kern w:val="0"/>
          <w:shd w:fill="auto" w:val="clear"/>
          <w:szCs w:val="22"/>
          <w:iCs w:val="false"/>
          <w:rFonts w:eastAsia="Times New Roman" w:cs="Arial"/>
          <w:color w:val="000000"/>
          <w:lang w:val="pt-BR" w:eastAsia="en-US" w:bidi="ar-SA"/>
        </w:rPr>
        <w:fldChar w:fldCharType="separate"/>
      </w:r>
      <w:r>
        <w:rPr>
          <w:rStyle w:val="LinkdaInternet"/>
          <w:rFonts w:eastAsia="Times New Roman" w:cs="Arial"/>
          <w:i w:val="false"/>
          <w:iCs w:val="false"/>
          <w:color w:val="000000"/>
          <w:kern w:val="0"/>
          <w:sz w:val="22"/>
          <w:szCs w:val="22"/>
          <w:shd w:fill="auto" w:val="clear"/>
          <w:lang w:val="pt-BR" w:eastAsia="en-US" w:bidi="ar-SA"/>
        </w:rPr>
        <w:t>Lei 14.133/21, art. 64</w:t>
      </w:r>
      <w:r>
        <w:rPr>
          <w:rStyle w:val="LinkdaInternet"/>
          <w:sz w:val="22"/>
          <w:i w:val="false"/>
          <w:kern w:val="0"/>
          <w:shd w:fill="auto" w:val="clear"/>
          <w:szCs w:val="22"/>
          <w:iCs w:val="false"/>
          <w:rFonts w:eastAsia="Times New Roman" w:cs="Arial"/>
          <w:color w:val="000000"/>
          <w:lang w:val="pt-BR" w:eastAsia="en-US" w:bidi="ar-SA"/>
        </w:rPr>
        <w:fldChar w:fldCharType="end"/>
      </w:r>
      <w:r>
        <w:rPr>
          <w:rFonts w:eastAsia="Times New Roman" w:cs="Arial"/>
          <w:i w:val="false"/>
          <w:iCs w:val="false"/>
          <w:color w:val="000000"/>
          <w:kern w:val="0"/>
          <w:sz w:val="22"/>
          <w:szCs w:val="22"/>
          <w:shd w:fill="auto" w:val="clear"/>
          <w:lang w:val="pt-BR" w:eastAsia="en-US" w:bidi="ar-SA"/>
        </w:rPr>
        <w:t xml:space="preserve">, e </w:t>
      </w:r>
      <w:hyperlink r:id="rId10">
        <w:r>
          <w:rPr>
            <w:rStyle w:val="LinkdaInternet"/>
            <w:rFonts w:eastAsia="Times New Roman" w:cs="Arial"/>
            <w:i w:val="false"/>
            <w:iCs w:val="false"/>
            <w:color w:val="000000"/>
            <w:kern w:val="0"/>
            <w:sz w:val="22"/>
            <w:szCs w:val="22"/>
            <w:shd w:fill="auto" w:val="clear"/>
            <w:lang w:val="pt-BR" w:eastAsia="en-US" w:bidi="ar-SA"/>
          </w:rPr>
          <w:t>IN 73/2022, art. 39, §4º</w:t>
        </w:r>
      </w:hyperlink>
      <w:r>
        <w:rPr>
          <w:rFonts w:eastAsia="Times New Roman" w:cs="Arial"/>
          <w:i w:val="false"/>
          <w:iCs w:val="false"/>
          <w:color w:val="000000"/>
          <w:kern w:val="0"/>
          <w:sz w:val="22"/>
          <w:szCs w:val="22"/>
          <w:shd w:fill="auto" w:val="clear"/>
          <w:lang w:val="pt-BR" w:eastAsia="en-US" w:bidi="ar-SA"/>
        </w:rPr>
        <w:t>):</w:t>
      </w:r>
    </w:p>
    <w:p>
      <w:pPr>
        <w:pStyle w:val="Nivel3"/>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9.15.1 complementação de informações acerca dos documentos já apresentados pelos licitantes e desde que necessária para apurar fatos existentes à época da abertura do certame; e</w:t>
      </w:r>
    </w:p>
    <w:p>
      <w:pPr>
        <w:pStyle w:val="Nivel3"/>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9.15.2 atualização de documentos cuja validade tenha expirado após a data de recebimento das propostas;</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9.16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9.17 Na hipótese de o licitante não atender às exigências para habilitação, o(a) pregoeiro(a) examinará a proposta subsequente e assim sucessivamente, na ordem de classificação, até a apuração de uma proposta que atenda ao presente edital.</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9.18 Havendo necessidade de analisar minuciosamente os documentos exigidos, o(a) Pregoeiro(a) suspenderá a sessão, informando no “chat” a nova data e horário para a continuidade da mesma</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9.19 Somente serão disponibilizados para acesso público os documentos de habilitação do licitante cuja proposta atenda ao edital de licitação, após concluídos os procedimentos de que trata o subitem anterior.</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9.20Será inabilitado o licitante que não comprovar sua habilitação, deixar de apresentar quaisquer dos documentos exigidos para a habilitação, ou apresentá-los em desacordo com o estabelecido neste Edital.</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PADRO"/>
        <w:keepNext w:val="false"/>
        <w:widowControl/>
        <w:numPr>
          <w:ilvl w:val="0"/>
          <w:numId w:val="0"/>
        </w:numPr>
        <w:shd w:val="clear" w:color="auto" w:fill="auto"/>
        <w:spacing w:lineRule="auto" w:line="240" w:before="120" w:after="120"/>
        <w:ind w:left="720"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ascii="Times New Roman" w:hAnsi="Times New Roman"/>
          <w:i w:val="false"/>
          <w:iCs w:val="false"/>
          <w:color w:val="000000"/>
          <w:kern w:val="0"/>
          <w:sz w:val="22"/>
          <w:szCs w:val="22"/>
          <w:shd w:fill="auto" w:val="clear"/>
          <w:lang w:val="pt-BR" w:eastAsia="en-US" w:bidi="ar-SA"/>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10. Da Contratação</w:t>
            </w:r>
          </w:p>
        </w:tc>
      </w:tr>
    </w:tbl>
    <w:p>
      <w:pPr>
        <w:pStyle w:val="PADRO"/>
        <w:widowControl/>
        <w:numPr>
          <w:ilvl w:val="0"/>
          <w:numId w:val="0"/>
        </w:numPr>
        <w:shd w:val="clear" w:color="auto" w:fill="auto"/>
        <w:spacing w:lineRule="auto" w:line="240" w:before="120" w:after="120"/>
        <w:ind w:left="720" w:hanging="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ascii="Times New Roman" w:hAnsi="Times New Roman"/>
          <w:i w:val="false"/>
          <w:iCs w:val="false"/>
          <w:color w:val="000000"/>
          <w:kern w:val="0"/>
          <w:sz w:val="22"/>
          <w:szCs w:val="22"/>
          <w:shd w:fill="auto" w:val="clear"/>
          <w:lang w:val="pt-BR" w:eastAsia="en-US" w:bidi="ar-SA"/>
        </w:rPr>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10.1.Após a homologação e adjudicação, caso se conclua pela contratação, será firmado Termo de Contrato ou emitido instrumento equivalente.</w:t>
      </w:r>
    </w:p>
    <w:p>
      <w:pPr>
        <w:pStyle w:val="Nivel2"/>
        <w:numPr>
          <w:ilvl w:val="0"/>
          <w:numId w:val="0"/>
        </w:numPr>
        <w:tabs>
          <w:tab w:val="clear" w:pos="720"/>
          <w:tab w:val="left" w:pos="851" w:leader="none"/>
        </w:tabs>
        <w:spacing w:lineRule="auto" w:line="240" w:before="288" w:after="288"/>
        <w:ind w:left="0" w:right="4" w:hanging="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10.2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Conforme consta do § 1º do Artigo 90 da Lei Federal de nº 14.133/2021. </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10.3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02 (dois) dias, a contar da data de seu recebimento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10.4 O prazo previsto para assinatura do contrato ou aceitação da nota de empenho ou instrumento equivalente poderá ser prorrogado </w:t>
      </w:r>
      <w:r>
        <w:rPr>
          <w:rFonts w:eastAsia="Times New Roman" w:cs="Arial"/>
          <w:bCs/>
          <w:i w:val="false"/>
          <w:iCs w:val="false"/>
          <w:color w:val="000000"/>
          <w:kern w:val="0"/>
          <w:sz w:val="22"/>
          <w:szCs w:val="22"/>
          <w:shd w:fill="auto" w:val="clear"/>
          <w:lang w:val="pt-BR" w:eastAsia="en-US" w:bidi="ar-SA"/>
        </w:rPr>
        <w:t>1 (uma) vez</w:t>
      </w:r>
      <w:r>
        <w:rPr>
          <w:rFonts w:eastAsia="Times New Roman" w:cs="Arial"/>
          <w:i w:val="false"/>
          <w:iCs w:val="false"/>
          <w:color w:val="000000"/>
          <w:kern w:val="0"/>
          <w:sz w:val="22"/>
          <w:szCs w:val="22"/>
          <w:shd w:fill="auto" w:val="clear"/>
          <w:lang w:val="pt-BR" w:eastAsia="en-US" w:bidi="ar-SA"/>
        </w:rPr>
        <w:t>, por igual período, por solicitação justificada do adjudicatário e aceita pela Administração.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10.5 O prazo de vigência da contratação é d</w:t>
      </w:r>
      <w:r>
        <w:rPr>
          <w:rFonts w:eastAsia="Times New Roman" w:cs="Arial"/>
          <w:i w:val="false"/>
          <w:iCs w:val="false"/>
          <w:color w:val="3465A4"/>
          <w:kern w:val="0"/>
          <w:sz w:val="22"/>
          <w:szCs w:val="22"/>
          <w:shd w:fill="auto" w:val="clear"/>
          <w:lang w:val="pt-BR" w:eastAsia="en-US" w:bidi="ar-SA"/>
        </w:rPr>
        <w:t xml:space="preserve">e .............................. </w:t>
      </w:r>
      <w:r>
        <w:rPr>
          <w:rFonts w:eastAsia="Times New Roman" w:cs="Arial"/>
          <w:i w:val="false"/>
          <w:iCs w:val="false"/>
          <w:color w:val="000000"/>
          <w:kern w:val="0"/>
          <w:sz w:val="22"/>
          <w:szCs w:val="22"/>
          <w:shd w:fill="auto" w:val="clear"/>
          <w:lang w:val="pt-BR" w:eastAsia="en-US" w:bidi="ar-SA"/>
        </w:rPr>
        <w:t xml:space="preserve">prorrogável conforme previsão nos anexos a este Aviso de Contratação Direta. </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10.6 Na assinatura do contrato ou do instrumento equivalente será exigida a comprovação das condições de habilitação e contratação consignadas neste aviso, que deverão ser mantidas pelo fornecedor durante a vigência do contrato.</w:t>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10. Das Infrações</w:t>
            </w:r>
          </w:p>
        </w:tc>
      </w:tr>
    </w:tbl>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10.1 Comete infração administrativa o fornecedor que cometer quaisquer das infrações previstas no art. 155 da Lei nº 14.133, de 2021, quais sejam: </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10.1.1 dar causa à inexecução parcial do contrato;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10.1.2 dar causa à inexecução parcial do contrato que cause grave dano à Administração, ao funcionamento dos serviços públicos ou ao interesse coletivo;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10.1.3 dar causa à inexecução total do contrato;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10.1.4 deixar de entregar a documentação exigida para o certame;</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10.1.5 não manter a proposta, salvo em decorrência de fato superveniente devidamente justificado;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10.1.6 não celebrar o contrato ou não entregar a documentação exigida para a contratação, quando convocado dentro do prazo de validade de sua proposta;</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10.1.7 ensejar o retardamento da execução ou da entrega do objeto da licitação sem motivo justificado;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10.1.8 apresentar declaração ou documentação falsa exigida para o certame ou prestar declaração falsa durante a dispensa eletrônica ou a execução do contrato;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10.1.9 fraudar a dispensa eletrônica ou praticar ato fraudulento na execução do contrato;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10.1.10 comportar-se de modo inidôneo ou cometer fraude de qualquer natureza;</w:t>
      </w:r>
    </w:p>
    <w:p>
      <w:pPr>
        <w:pStyle w:val="ListParagraph"/>
        <w:numPr>
          <w:ilvl w:val="0"/>
          <w:numId w:val="0"/>
        </w:numPr>
        <w:tabs>
          <w:tab w:val="clear" w:pos="720"/>
          <w:tab w:val="left" w:pos="851" w:leader="none"/>
        </w:tabs>
        <w:spacing w:lineRule="auto" w:line="240" w:before="120" w:after="120"/>
        <w:ind w:left="0" w:right="0" w:hanging="0"/>
        <w:contextualSpacing/>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10.1.10.1.Considera-se comportamento inidôneo, entre outros, a declaração falsa quanto às condições de participação, quanto ao enquadramento como ME/EPP ou o conluio entre os fornecedores, em qualquer momento da dispensa, mesmo após o encerramento da fase de lances.</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10.1.11 praticar atos ilícitos com vistas a frustrar os objetivos deste certame.</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pPr>
      <w:r>
        <w:rPr>
          <w:rFonts w:eastAsia="Times New Roman" w:cs="Arial"/>
          <w:i w:val="false"/>
          <w:iCs w:val="false"/>
          <w:color w:val="000000"/>
          <w:kern w:val="0"/>
          <w:sz w:val="22"/>
          <w:szCs w:val="22"/>
          <w:shd w:fill="auto" w:val="clear"/>
          <w:lang w:val="pt-BR" w:eastAsia="en-US" w:bidi="ar-SA"/>
        </w:rPr>
        <w:t>10.1.12 praticar ato lesivo previsto no </w:t>
      </w:r>
      <w:r>
        <w:fldChar w:fldCharType="begin"/>
      </w:r>
      <w:r>
        <w:rPr>
          <w:sz w:val="22"/>
          <w:i w:val="false"/>
          <w:kern w:val="0"/>
          <w:shd w:fill="auto" w:val="clear"/>
          <w:szCs w:val="22"/>
          <w:iCs w:val="false"/>
          <w:rFonts w:eastAsia="Times New Roman" w:cs="Arial"/>
          <w:color w:val="000000"/>
          <w:lang w:val="pt-BR" w:eastAsia="en-US" w:bidi="ar-SA"/>
        </w:rPr>
        <w:instrText xml:space="preserve"> HYPERLINK "http://www.planalto.gov.br/ccivil_03/_Ato2011-2014/2013/Lei/L12846.htm" \l "art5"</w:instrText>
      </w:r>
      <w:r>
        <w:rPr>
          <w:sz w:val="22"/>
          <w:i w:val="false"/>
          <w:kern w:val="0"/>
          <w:shd w:fill="auto" w:val="clear"/>
          <w:szCs w:val="22"/>
          <w:iCs w:val="false"/>
          <w:rFonts w:eastAsia="Times New Roman" w:cs="Arial"/>
          <w:color w:val="000000"/>
          <w:lang w:val="pt-BR" w:eastAsia="en-US" w:bidi="ar-SA"/>
        </w:rPr>
        <w:fldChar w:fldCharType="separate"/>
      </w:r>
      <w:r>
        <w:rPr>
          <w:rFonts w:eastAsia="Times New Roman" w:cs="Arial"/>
          <w:i w:val="false"/>
          <w:iCs w:val="false"/>
          <w:color w:val="000000"/>
          <w:kern w:val="0"/>
          <w:sz w:val="22"/>
          <w:szCs w:val="22"/>
          <w:shd w:fill="auto" w:val="clear"/>
          <w:lang w:val="pt-BR" w:eastAsia="en-US" w:bidi="ar-SA"/>
        </w:rPr>
        <w:t>art. 5º da Lei nº 12.846, de 1º de agosto de 2013.</w:t>
      </w:r>
      <w:r>
        <w:rPr>
          <w:sz w:val="22"/>
          <w:i w:val="false"/>
          <w:kern w:val="0"/>
          <w:shd w:fill="auto" w:val="clear"/>
          <w:szCs w:val="22"/>
          <w:iCs w:val="false"/>
          <w:rFonts w:eastAsia="Times New Roman" w:cs="Arial"/>
          <w:color w:val="000000"/>
          <w:lang w:val="pt-BR" w:eastAsia="en-US" w:bidi="ar-SA"/>
        </w:rPr>
        <w:fldChar w:fldCharType="end"/>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10.2 O fornecedor que cometer qualquer das infrações discriminadas nos subitens anteriores ficará sujeito, sem prejuízo da responsabilidade civil e criminal, às seguintes sanções: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10.2.1 Advertência pela falta do subitem 8.1.1 deste Aviso de Contratação Direta, quando não se justificar a imposição de penalidade mais grave;</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10.2.2.Multa de no mínimo 0,5% (cinco décimos por cento) e máximo de 30% (trinta por cento),sobre o valor estimado do(s) item(s) prejudicado(s) pela conduta do fornecedor, por qualquer das infrações dos subitens 8.1.1 a 8.1.12;</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10.2.3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10.3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Cs/>
          <w:i w:val="false"/>
          <w:iCs w:val="false"/>
          <w:color w:val="000000"/>
          <w:kern w:val="0"/>
          <w:sz w:val="22"/>
          <w:szCs w:val="22"/>
          <w:shd w:fill="auto" w:val="clear"/>
          <w:lang w:val="pt-BR" w:eastAsia="en-US" w:bidi="ar-SA"/>
        </w:rPr>
        <w:t>10.4 Na aplicação das sanções serão considerados:</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Cs/>
          <w:i w:val="false"/>
          <w:iCs w:val="false"/>
          <w:color w:val="000000"/>
          <w:kern w:val="0"/>
          <w:sz w:val="22"/>
          <w:szCs w:val="22"/>
          <w:shd w:fill="auto" w:val="clear"/>
          <w:lang w:val="pt-BR" w:eastAsia="en-US" w:bidi="ar-SA"/>
        </w:rPr>
        <w:t>10.4.1 a natureza e a gravidade da infração cometida;</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Cs/>
          <w:i w:val="false"/>
          <w:iCs w:val="false"/>
          <w:color w:val="000000"/>
          <w:kern w:val="0"/>
          <w:sz w:val="22"/>
          <w:szCs w:val="22"/>
          <w:shd w:fill="auto" w:val="clear"/>
          <w:lang w:val="pt-BR" w:eastAsia="en-US" w:bidi="ar-SA"/>
        </w:rPr>
        <w:t>10.4.2 as peculiaridades do caso concreto;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Cs/>
          <w:i w:val="false"/>
          <w:iCs w:val="false"/>
          <w:color w:val="000000"/>
          <w:kern w:val="0"/>
          <w:sz w:val="22"/>
          <w:szCs w:val="22"/>
          <w:shd w:fill="auto" w:val="clear"/>
          <w:lang w:val="pt-BR" w:eastAsia="en-US" w:bidi="ar-SA"/>
        </w:rPr>
        <w:t>10.4.3 as circunstâncias agravantes ou atenuantes;</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Cs/>
          <w:i w:val="false"/>
          <w:iCs w:val="false"/>
          <w:color w:val="000000"/>
          <w:kern w:val="0"/>
          <w:sz w:val="22"/>
          <w:szCs w:val="22"/>
          <w:shd w:fill="auto" w:val="clear"/>
          <w:lang w:val="pt-BR" w:eastAsia="en-US" w:bidi="ar-SA"/>
        </w:rPr>
        <w:t>10.4.4.os danos que dela provierem para a Administração Pública;</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Cs/>
          <w:i w:val="false"/>
          <w:iCs w:val="false"/>
          <w:color w:val="000000"/>
          <w:kern w:val="0"/>
          <w:sz w:val="22"/>
          <w:szCs w:val="22"/>
          <w:shd w:fill="auto" w:val="clear"/>
          <w:lang w:val="pt-BR" w:eastAsia="en-US" w:bidi="ar-SA"/>
        </w:rPr>
        <w:t>10.4.5 a implantação ou o aperfeiçoamento de programa de integridade, conforme normas e orientações dos órgãos de controle.</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bookmarkStart w:id="33" w:name="art156§6"/>
      <w:bookmarkStart w:id="34" w:name="art156§7"/>
      <w:bookmarkStart w:id="35" w:name="art156§8"/>
      <w:bookmarkEnd w:id="33"/>
      <w:bookmarkEnd w:id="34"/>
      <w:bookmarkEnd w:id="35"/>
      <w:r>
        <w:rPr>
          <w:rFonts w:eastAsia="Times New Roman" w:cs="Arial"/>
          <w:i w:val="false"/>
          <w:iCs w:val="false"/>
          <w:color w:val="000000"/>
          <w:kern w:val="0"/>
          <w:sz w:val="22"/>
          <w:szCs w:val="22"/>
          <w:shd w:fill="auto" w:val="clear"/>
          <w:lang w:val="pt-BR" w:eastAsia="en-US" w:bidi="ar-SA"/>
        </w:rPr>
        <w:t>10.5 Se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bookmarkStart w:id="36" w:name="art156§9"/>
      <w:bookmarkEnd w:id="36"/>
      <w:r>
        <w:rPr>
          <w:rFonts w:eastAsia="Times New Roman" w:cs="Arial"/>
          <w:i w:val="false"/>
          <w:iCs w:val="false"/>
          <w:color w:val="000000"/>
          <w:kern w:val="0"/>
          <w:sz w:val="22"/>
          <w:szCs w:val="22"/>
          <w:shd w:fill="auto" w:val="clear"/>
          <w:lang w:val="pt-BR" w:eastAsia="en-US" w:bidi="ar-SA"/>
        </w:rPr>
        <w:t>10.6 A aplicação das sanções previstas neste Aviso de Contratação Direta, em hipótese alguma, a obrigação de reparação integral do dano causado à Administração Pública.</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10.7 A penalidade de multa pode ser aplicada cumulativamente com as demais sanções.</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10.8 Se, durante o processo de aplicação de penalidade, houver indícios de prática de infração administrativa tipificada pela Lei nº 12.846, de 1º de agosto de 2013, como ato lesivo à administração pública nacional ou estrangeira, cópias do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10.9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10.10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10.11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10.12 As sanções por atos praticados no decorrer da contratação estão previstas nos anexos a este Aviso.</w:t>
      </w:r>
    </w:p>
    <w:p>
      <w:pPr>
        <w:pStyle w:val="Normal"/>
        <w:spacing w:lineRule="auto" w:line="240" w:before="120" w:after="120"/>
        <w:ind w:left="425" w:right="4" w:hanging="1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11. Das Disposições Gerais</w:t>
            </w:r>
          </w:p>
        </w:tc>
      </w:tr>
    </w:tbl>
    <w:p>
      <w:pPr>
        <w:pStyle w:val="Normal"/>
        <w:widowControl/>
        <w:numPr>
          <w:ilvl w:val="0"/>
          <w:numId w:val="0"/>
        </w:numPr>
        <w:tabs>
          <w:tab w:val="clear" w:pos="720"/>
          <w:tab w:val="left" w:pos="851" w:leader="none"/>
        </w:tabs>
        <w:suppressAutoHyphens w:val="false"/>
        <w:snapToGrid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 O procedimento será divulgado no Portal de Compras Públicas e no Portal Nacional de Contratações Públicas – PNCP, no Sitio oficial da Câmara Municipal de Santana da Vargem, por mensagem eletrônica, na correspondente linha de fornecimento que pretende atender.</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 No caso de todos os fornecedores restarem desclassificados ou inabilitados (procedimento fracassado), a Administração poderá:</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11.1 republicar o presente aviso com uma nova data;</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11.2 valer-se, para a contratação, de proposta obtida na pesquisa de preços que serviu de base ao procedimento, se houver, privilegiando-se os menores preços, sempre que possível, e desde que atendidas às condições de habilitação exigidas.</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11.3 No caso do subitem anterior, a contratação será operacionalizada fora deste procedimento.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11.4 fixar prazo para que possa haver adequação das propostas ou da documentação de habilitação, conforme o caso.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11.5 As providências acima poderão ser utilizadas se não houver o comparecimento de quaisquer fornecedores interessados (procedimento deserto)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11.6 Havendo a necessidade de realização de ato de qualquer natureza pelos fornecedores, cujo prazo não conste deste Aviso de Contratação, deverá ser atendido o prazo indicado pelo agente competente da Administração na respectiva notificação.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11.7 Caberá ao fornecedor acompanhar as operações, ficando responsável pelo ônus decorrente da perda do negócio diante da inobservância de quaisquer mensagens emitidas pela Administração ou de sua desconexão.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11.8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11.9 Os horários estabelecidos na divulgação deste procedimento e durante o envio de lances observarão o horário de Brasília-DF, inclusive para contagem de tempo e registro no Sistema e na documentação relativa ao procedimento.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11.11 As normas disciplinadoras deste Aviso de Contratação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11.12 Os fornecedores assumem todos os custos de preparação e apresentação de suas propostas e a Administração não será, em nenhum caso, responsável por esses custos, independentemente da condução ou do resultado do processo de contratação.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11.13 Em caso de divergência entre disposições deste Aviso de Contratação e de seus anexos ou demais peças que compõem o processo, prevalecerá as deste Aviso.</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11.14 Integram este Aviso de Contratação, para todos os fins e efeitos, os seguintes anexos:</w:t>
      </w:r>
    </w:p>
    <w:p>
      <w:pPr>
        <w:pStyle w:val="Normal"/>
        <w:widowControl/>
        <w:numPr>
          <w:ilvl w:val="0"/>
          <w:numId w:val="0"/>
        </w:numPr>
        <w:tabs>
          <w:tab w:val="clear" w:pos="720"/>
          <w:tab w:val="left" w:pos="851" w:leader="none"/>
        </w:tabs>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11.14.1 ANEXO I – Termo de Referência;</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highlight w:val="yellow"/>
          <w:shd w:fill="auto" w:val="clear"/>
          <w:lang w:val="pt-BR" w:eastAsia="en-US" w:bidi="ar-SA"/>
        </w:rPr>
        <w:t>11.15.2 ANEXO II.1 – Estudo Técnico Preliminar</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highlight w:val="yellow"/>
          <w:shd w:fill="auto" w:val="clear"/>
          <w:lang w:val="pt-BR" w:eastAsia="en-US" w:bidi="ar-SA"/>
        </w:rPr>
        <w:t>11.15.3 ANEXO II – Minuta de Termo de Contrato;</w:t>
      </w:r>
    </w:p>
    <w:p>
      <w:pPr>
        <w:pStyle w:val="Normal"/>
        <w:spacing w:lineRule="auto" w:line="240" w:before="0" w:after="120"/>
        <w:ind w:left="360" w:right="-15" w:hanging="10"/>
        <w:jc w:val="both"/>
        <w:rPr>
          <w:rFonts w:ascii="Times New Roman" w:hAnsi="Times New Roman" w:eastAsia="Times New Roman" w:cs="Arial"/>
          <w:i w:val="false"/>
          <w:i w:val="false"/>
          <w:iCs w:val="false"/>
          <w:color w:val="000000"/>
          <w:kern w:val="0"/>
          <w:sz w:val="22"/>
          <w:szCs w:val="22"/>
          <w:shd w:fill="auto" w:val="clear"/>
          <w:lang w:val="pt-BR" w:eastAsia="en-US" w:bidi="ar-SA"/>
        </w:rPr>
      </w:pPr>
      <w:r>
        <w:rPr>
          <w:rFonts w:eastAsia="Times New Roman" w:cs="Arial"/>
          <w:i w:val="false"/>
          <w:iCs w:val="false"/>
          <w:color w:val="000000"/>
          <w:kern w:val="0"/>
          <w:sz w:val="22"/>
          <w:szCs w:val="22"/>
          <w:shd w:fill="auto" w:val="clear"/>
          <w:lang w:val="pt-BR" w:eastAsia="en-US" w:bidi="ar-SA"/>
        </w:rPr>
      </w:r>
    </w:p>
    <w:p>
      <w:pPr>
        <w:pStyle w:val="Normal"/>
        <w:spacing w:lineRule="auto" w:line="240" w:before="0" w:after="120"/>
        <w:ind w:left="360" w:right="-15" w:hanging="10"/>
        <w:jc w:val="both"/>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 d</w:t>
      </w:r>
      <w:r>
        <w:rPr>
          <w:rFonts w:cs="Arial"/>
          <w:sz w:val="22"/>
          <w:szCs w:val="22"/>
        </w:rPr>
        <w:t>e ................................. de 20.....</w:t>
      </w:r>
    </w:p>
    <w:p>
      <w:pPr>
        <w:pStyle w:val="Normal"/>
        <w:spacing w:lineRule="auto" w:line="240"/>
        <w:jc w:val="both"/>
        <w:rPr>
          <w:rFonts w:ascii="Times New Roman" w:hAnsi="Times New Roman"/>
          <w:sz w:val="22"/>
          <w:szCs w:val="22"/>
        </w:rPr>
      </w:pPr>
      <w:r>
        <w:rPr>
          <w:b/>
          <w:bCs/>
          <w:iCs/>
          <w:sz w:val="22"/>
          <w:szCs w:val="22"/>
        </w:rPr>
        <w:t xml:space="preserve">Assinatura da </w:t>
      </w:r>
      <w:r>
        <w:rPr>
          <w:rFonts w:cs="Arial"/>
          <w:b/>
          <w:bCs/>
          <w:iCs/>
          <w:sz w:val="22"/>
          <w:szCs w:val="22"/>
        </w:rPr>
        <w:t xml:space="preserve">Comissão de Contratação </w:t>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p>
      <w:pPr>
        <w:pStyle w:val="Normal"/>
        <w:widowControl/>
        <w:numPr>
          <w:ilvl w:val="0"/>
          <w:numId w:val="0"/>
        </w:numPr>
        <w:suppressAutoHyphens w:val="false"/>
        <w:spacing w:lineRule="auto" w:line="240" w:before="120" w:after="120"/>
        <w:ind w:left="0" w:right="0" w:hanging="0"/>
        <w:jc w:val="center"/>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ANEXO VII</w:t>
      </w:r>
    </w:p>
    <w:p>
      <w:pPr>
        <w:pStyle w:val="Normal"/>
        <w:widowControl/>
        <w:numPr>
          <w:ilvl w:val="0"/>
          <w:numId w:val="0"/>
        </w:numPr>
        <w:suppressAutoHyphens w:val="false"/>
        <w:spacing w:lineRule="auto" w:line="240" w:before="120" w:after="120"/>
        <w:ind w:left="0" w:right="0" w:hanging="0"/>
        <w:jc w:val="center"/>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DECLARAÇÃO</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PROCESSO N.º</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Objeto: </w:t>
      </w:r>
      <w:r>
        <w:rPr>
          <w:rFonts w:eastAsia="Times New Roman" w:cs="Arial"/>
          <w:i w:val="false"/>
          <w:iCs w:val="false"/>
          <w:color w:val="3465A4"/>
          <w:kern w:val="0"/>
          <w:sz w:val="22"/>
          <w:szCs w:val="22"/>
          <w:shd w:fill="auto" w:val="clear"/>
          <w:lang w:val="pt-BR" w:eastAsia="en-US" w:bidi="ar-SA"/>
        </w:rPr>
        <w:t xml:space="preserve">descrever o objeto </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color w:val="355269"/>
          <w:kern w:val="0"/>
          <w:sz w:val="22"/>
          <w:szCs w:val="22"/>
          <w:shd w:fill="auto" w:val="clear"/>
          <w:lang w:val="pt-BR" w:eastAsia="en-US" w:bidi="ar-SA"/>
        </w:rPr>
      </w:pPr>
      <w:r>
        <w:rPr>
          <w:rFonts w:eastAsia="Times New Roman" w:cs="Arial"/>
          <w:i w:val="false"/>
          <w:iCs w:val="false"/>
          <w:color w:val="355269"/>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color w:val="3465A4"/>
          <w:sz w:val="22"/>
          <w:szCs w:val="22"/>
        </w:rPr>
      </w:pPr>
      <w:r>
        <w:rPr>
          <w:rFonts w:eastAsia="Times New Roman" w:cs="Arial"/>
          <w:i w:val="false"/>
          <w:iCs w:val="false"/>
          <w:color w:val="3465A4"/>
          <w:kern w:val="0"/>
          <w:sz w:val="22"/>
          <w:szCs w:val="22"/>
          <w:shd w:fill="auto" w:val="clear"/>
          <w:lang w:val="pt-BR" w:eastAsia="en-US" w:bidi="ar-SA"/>
        </w:rPr>
        <w:t>A XXXXXXX, inscrita no CNPJ XXXXXX, IÊ XXXXXXX, IM XXXXXX, com sede à rua XXXXXX, n.º xxxx, Bairro: XXXXX Cidade XXXXXX, Estado XXXXXX, neste ato, representada por Nome XXXXXX, Inscrito no CPF n.º XXXXXX, declara para os devidos fins:</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color w:val="355269"/>
          <w:kern w:val="0"/>
          <w:sz w:val="22"/>
          <w:szCs w:val="22"/>
          <w:shd w:fill="auto" w:val="clear"/>
          <w:lang w:val="pt-BR" w:eastAsia="en-US" w:bidi="ar-SA"/>
        </w:rPr>
      </w:pPr>
      <w:r>
        <w:rPr>
          <w:rFonts w:eastAsia="Times New Roman" w:cs="Arial"/>
          <w:i w:val="false"/>
          <w:iCs w:val="false"/>
          <w:color w:val="355269"/>
          <w:kern w:val="0"/>
          <w:sz w:val="22"/>
          <w:szCs w:val="22"/>
          <w:shd w:fill="auto" w:val="clear"/>
          <w:lang w:val="pt-BR" w:eastAsia="en-US" w:bidi="ar-SA"/>
        </w:rPr>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 xml:space="preserve">1. que inexistem fatos impeditivos para sua habilitação na dispensa </w:t>
      </w:r>
      <w:r>
        <w:rPr>
          <w:rFonts w:eastAsia="Times New Roman" w:cs="Arial"/>
          <w:i w:val="false"/>
          <w:iCs w:val="false"/>
          <w:color w:val="3465A4"/>
          <w:kern w:val="0"/>
          <w:sz w:val="22"/>
          <w:szCs w:val="22"/>
          <w:shd w:fill="auto" w:val="clear"/>
          <w:lang w:val="pt-BR" w:eastAsia="en-US" w:bidi="ar-SA"/>
        </w:rPr>
        <w:t xml:space="preserve">ou Inexigibilidade </w:t>
      </w:r>
      <w:r>
        <w:rPr>
          <w:rFonts w:eastAsia="Times New Roman" w:cs="Arial"/>
          <w:i w:val="false"/>
          <w:iCs w:val="false"/>
          <w:color w:val="000000"/>
          <w:kern w:val="0"/>
          <w:sz w:val="22"/>
          <w:szCs w:val="22"/>
          <w:shd w:fill="auto" w:val="clear"/>
          <w:lang w:val="pt-BR" w:eastAsia="en-US" w:bidi="ar-SA"/>
        </w:rPr>
        <w:t>em epígrafe, estando ciente da obrigatoriedade de declarar ocorrências posteriores;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color w:val="3465A4"/>
          <w:sz w:val="22"/>
          <w:szCs w:val="22"/>
        </w:rPr>
      </w:pPr>
      <w:r>
        <w:rPr>
          <w:rFonts w:eastAsia="Times New Roman" w:cs="Arial"/>
          <w:i w:val="false"/>
          <w:iCs w:val="false"/>
          <w:color w:val="3465A4"/>
          <w:kern w:val="0"/>
          <w:sz w:val="22"/>
          <w:szCs w:val="22"/>
          <w:shd w:fill="auto" w:val="clear"/>
          <w:lang w:val="pt-BR" w:eastAsia="en-US" w:bidi="ar-SA"/>
        </w:rPr>
        <w:t>2. que cumpre os requisitos estabelecidos no artigo 3° da Lei Complementar nº 123, de 2006, estando apto a usufruir do tratamento favorecido estabelecido em seus arts. 42 a 49. (quando for o caso)</w:t>
      </w:r>
    </w:p>
    <w:p>
      <w:pPr>
        <w:pStyle w:val="Normal"/>
        <w:widowControl/>
        <w:suppressAutoHyphens w:val="false"/>
        <w:spacing w:lineRule="auto" w:line="240" w:before="120" w:after="120"/>
        <w:ind w:left="0" w:right="0" w:hanging="0"/>
        <w:jc w:val="both"/>
        <w:textAlignment w:val="auto"/>
        <w:rPr>
          <w:rFonts w:ascii="Times New Roman" w:hAnsi="Times New Roman"/>
          <w:color w:val="3465A4"/>
          <w:sz w:val="22"/>
          <w:szCs w:val="22"/>
        </w:rPr>
      </w:pPr>
      <w:r>
        <w:rPr>
          <w:rFonts w:eastAsia="Times New Roman" w:cs="Arial"/>
          <w:i w:val="false"/>
          <w:iCs w:val="false"/>
          <w:color w:val="3465A4"/>
          <w:kern w:val="0"/>
          <w:sz w:val="22"/>
          <w:szCs w:val="22"/>
          <w:shd w:fill="auto" w:val="clear"/>
          <w:lang w:val="pt-BR" w:eastAsia="en-US" w:bidi="ar-SA"/>
        </w:rPr>
        <w:t xml:space="preserve">3. Se for o caso, que enquadra-se no  tratamento favorecido previsto na Lei Complementar nº 123, de 2006, </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4. que está ciente e concorda com as condições contidas no Aviso de Contratação e seus anexos;</w:t>
      </w:r>
    </w:p>
    <w:p>
      <w:pPr>
        <w:pStyle w:val="Normal"/>
        <w:widowControl/>
        <w:numPr>
          <w:ilvl w:val="0"/>
          <w:numId w:val="0"/>
        </w:numPr>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5. que não emprega menor de 18 anos em trabalho noturno, perigoso ou insalubre e não emprega menor de 16 anos, salvo menor, a partir de 14 anos, na condição de aprendiz, nos termos do artigo 7°, XXXIII, da Constituição;</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Representante Legal: ___________</w:t>
      </w:r>
    </w:p>
    <w:p>
      <w:pPr>
        <w:pStyle w:val="Normal"/>
        <w:widowControl/>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Empresa: ____________________</w:t>
      </w:r>
    </w:p>
    <w:p>
      <w:pPr>
        <w:pStyle w:val="Normal"/>
        <w:widowControl/>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CNPJ: _______________________</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i w:val="false"/>
          <w:iCs w:val="false"/>
          <w:color w:val="000000"/>
          <w:kern w:val="0"/>
          <w:sz w:val="22"/>
          <w:szCs w:val="22"/>
          <w:shd w:fill="auto" w:val="clear"/>
          <w:lang w:val="pt-BR" w:eastAsia="en-US" w:bidi="ar-SA"/>
        </w:rPr>
        <w:t>CidadeXXXXX, XXX de XXXXX de 20_</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i w:val="false"/>
          <w:i w:val="false"/>
          <w:iCs w:val="false"/>
          <w:kern w:val="0"/>
          <w:sz w:val="22"/>
          <w:szCs w:val="22"/>
          <w:shd w:fill="auto" w:val="clear"/>
          <w:lang w:val="pt-BR" w:eastAsia="en-US" w:bidi="ar-SA"/>
        </w:rPr>
      </w:pPr>
      <w:r>
        <w:rPr>
          <w:rFonts w:eastAsia="Times New Roman" w:cs="Arial"/>
          <w:i w:val="false"/>
          <w:iCs w:val="false"/>
          <w:kern w:val="0"/>
          <w:sz w:val="22"/>
          <w:szCs w:val="22"/>
          <w:shd w:fill="auto" w:val="clear"/>
          <w:lang w:val="pt-BR" w:eastAsia="en-US" w:bidi="ar-SA"/>
        </w:rPr>
      </w:r>
    </w:p>
    <w:p>
      <w:pPr>
        <w:pStyle w:val="Normal"/>
        <w:widowControl/>
        <w:suppressAutoHyphens w:val="false"/>
        <w:spacing w:lineRule="auto" w:line="240" w:before="120" w:after="120"/>
        <w:ind w:left="0" w:right="0" w:hanging="0"/>
        <w:jc w:val="center"/>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ANEXO VIII</w:t>
      </w:r>
    </w:p>
    <w:p>
      <w:pPr>
        <w:pStyle w:val="Corpodotexto"/>
        <w:widowControl/>
        <w:suppressAutoHyphens w:val="false"/>
        <w:spacing w:lineRule="auto" w:line="240" w:before="120" w:after="120"/>
        <w:ind w:left="0" w:right="0" w:hanging="0"/>
        <w:jc w:val="center"/>
        <w:textAlignment w:val="auto"/>
        <w:rPr/>
      </w:pPr>
      <w:r>
        <w:rPr>
          <w:rStyle w:val="Strong"/>
          <w:rFonts w:eastAsia="Times New Roman" w:cs="Arial"/>
          <w:b/>
          <w:i w:val="false"/>
          <w:iCs w:val="false"/>
          <w:color w:val="000000"/>
          <w:spacing w:val="0"/>
          <w:kern w:val="0"/>
          <w:sz w:val="22"/>
          <w:szCs w:val="22"/>
          <w:shd w:fill="auto" w:val="clear"/>
          <w:lang w:val="pt-BR" w:eastAsia="en-US" w:bidi="ar-SA"/>
        </w:rPr>
        <w:t xml:space="preserve">AVISO DE INTENÇÃO DE CONTRATAÇÃO POR </w:t>
      </w:r>
      <w:r>
        <w:rPr>
          <w:rStyle w:val="Strong"/>
          <w:rFonts w:eastAsia="Times New Roman" w:cs="Arial"/>
          <w:b/>
          <w:i w:val="false"/>
          <w:iCs w:val="false"/>
          <w:color w:val="5983B0"/>
          <w:spacing w:val="0"/>
          <w:kern w:val="0"/>
          <w:sz w:val="22"/>
          <w:szCs w:val="22"/>
          <w:shd w:fill="auto" w:val="clear"/>
          <w:lang w:val="pt-BR" w:eastAsia="en-US" w:bidi="ar-SA"/>
        </w:rPr>
        <w:t>DISPENSA DE LICITAÇÃO</w:t>
      </w:r>
      <w:r>
        <w:rPr>
          <w:rStyle w:val="Strong"/>
          <w:rFonts w:eastAsia="Times New Roman" w:cs="Arial"/>
          <w:b/>
          <w:i w:val="false"/>
          <w:iCs w:val="false"/>
          <w:color w:val="000000"/>
          <w:spacing w:val="0"/>
          <w:kern w:val="0"/>
          <w:sz w:val="22"/>
          <w:szCs w:val="22"/>
          <w:shd w:fill="auto" w:val="clear"/>
          <w:lang w:val="pt-BR" w:eastAsia="en-US" w:bidi="ar-SA"/>
        </w:rPr>
        <w:t xml:space="preserve"> </w:t>
      </w:r>
      <w:r>
        <w:rPr>
          <w:rStyle w:val="Strong"/>
          <w:rFonts w:eastAsia="Times New Roman" w:cs="Arial"/>
          <w:b/>
          <w:i w:val="false"/>
          <w:iCs w:val="false"/>
          <w:color w:val="5983B0"/>
          <w:spacing w:val="0"/>
          <w:kern w:val="0"/>
          <w:sz w:val="22"/>
          <w:szCs w:val="22"/>
          <w:shd w:fill="auto" w:val="clear"/>
          <w:lang w:val="pt-BR" w:eastAsia="en-US" w:bidi="ar-SA"/>
        </w:rPr>
        <w:t>OU</w:t>
      </w:r>
      <w:r>
        <w:rPr>
          <w:rStyle w:val="Strong"/>
          <w:rFonts w:eastAsia="Times New Roman" w:cs="Arial"/>
          <w:b/>
          <w:i w:val="false"/>
          <w:iCs w:val="false"/>
          <w:color w:val="000000"/>
          <w:spacing w:val="0"/>
          <w:kern w:val="0"/>
          <w:sz w:val="22"/>
          <w:szCs w:val="22"/>
          <w:shd w:fill="auto" w:val="clear"/>
          <w:lang w:val="pt-BR" w:eastAsia="en-US" w:bidi="ar-SA"/>
        </w:rPr>
        <w:t xml:space="preserve"> </w:t>
      </w:r>
      <w:r>
        <w:rPr>
          <w:rStyle w:val="Strong"/>
          <w:rFonts w:eastAsia="Times New Roman" w:cs="Arial"/>
          <w:b/>
          <w:i w:val="false"/>
          <w:iCs w:val="false"/>
          <w:color w:val="5983B0"/>
          <w:spacing w:val="0"/>
          <w:kern w:val="0"/>
          <w:sz w:val="22"/>
          <w:szCs w:val="22"/>
          <w:shd w:fill="auto" w:val="clear"/>
          <w:lang w:val="pt-BR" w:eastAsia="en-US" w:bidi="ar-SA"/>
        </w:rPr>
        <w:t>INEXIGIBILIDADE</w:t>
      </w:r>
    </w:p>
    <w:p>
      <w:pPr>
        <w:pStyle w:val="Corpodotexto"/>
        <w:widowControl/>
        <w:spacing w:lineRule="auto" w:line="240" w:before="0" w:after="0"/>
        <w:ind w:left="0" w:right="0" w:hanging="0"/>
        <w:jc w:val="both"/>
        <w:rPr/>
      </w:pPr>
      <w:r>
        <w:rPr>
          <w:rStyle w:val="Strong"/>
          <w:rFonts w:eastAsia="Times New Roman" w:cs="Arial"/>
          <w:b/>
          <w:i w:val="false"/>
          <w:iCs w:val="false"/>
          <w:color w:val="000000"/>
          <w:spacing w:val="0"/>
          <w:kern w:val="0"/>
          <w:sz w:val="22"/>
          <w:szCs w:val="22"/>
          <w:shd w:fill="auto" w:val="clear"/>
          <w:lang w:val="pt-BR" w:eastAsia="en-US" w:bidi="ar-SA"/>
        </w:rPr>
        <w:t xml:space="preserve">PROCESSO ADMINISTRATIVO Nº </w:t>
      </w:r>
      <w:r>
        <w:rPr>
          <w:rStyle w:val="Strong"/>
          <w:rFonts w:eastAsia="Times New Roman" w:cs="Arial"/>
          <w:b/>
          <w:i w:val="false"/>
          <w:iCs w:val="false"/>
          <w:color w:val="3465A4"/>
          <w:spacing w:val="0"/>
          <w:kern w:val="0"/>
          <w:sz w:val="22"/>
          <w:szCs w:val="22"/>
          <w:shd w:fill="auto" w:val="clear"/>
          <w:lang w:val="pt-BR" w:eastAsia="en-US" w:bidi="ar-SA"/>
        </w:rPr>
        <w:t>XXX</w:t>
      </w:r>
    </w:p>
    <w:p>
      <w:pPr>
        <w:pStyle w:val="Corpodotexto"/>
        <w:widowControl/>
        <w:spacing w:lineRule="auto" w:line="240" w:before="0" w:after="0"/>
        <w:ind w:left="0" w:right="0" w:hanging="0"/>
        <w:jc w:val="both"/>
        <w:rPr/>
      </w:pPr>
      <w:r>
        <w:rPr>
          <w:rStyle w:val="Strong"/>
          <w:rFonts w:eastAsia="Times New Roman" w:cs="Arial"/>
          <w:b/>
          <w:i w:val="false"/>
          <w:iCs w:val="false"/>
          <w:color w:val="000000"/>
          <w:spacing w:val="0"/>
          <w:kern w:val="0"/>
          <w:sz w:val="22"/>
          <w:szCs w:val="22"/>
          <w:shd w:fill="auto" w:val="clear"/>
          <w:lang w:val="pt-BR" w:eastAsia="en-US" w:bidi="ar-SA"/>
        </w:rPr>
        <w:t xml:space="preserve">DISPENSA DE LICITAÇÃO Nº </w:t>
      </w:r>
      <w:r>
        <w:rPr>
          <w:rStyle w:val="Strong"/>
          <w:rFonts w:eastAsia="Times New Roman" w:cs="Arial"/>
          <w:b/>
          <w:i w:val="false"/>
          <w:iCs w:val="false"/>
          <w:color w:val="3465A4"/>
          <w:spacing w:val="0"/>
          <w:kern w:val="0"/>
          <w:sz w:val="22"/>
          <w:szCs w:val="22"/>
          <w:shd w:fill="auto" w:val="clear"/>
          <w:lang w:val="pt-BR" w:eastAsia="en-US" w:bidi="ar-SA"/>
        </w:rPr>
        <w:t xml:space="preserve">XXX/2024 ou INEXIGIBILIDADE DE LICITAÇÃO </w:t>
      </w:r>
    </w:p>
    <w:p>
      <w:pPr>
        <w:pStyle w:val="Corpodotexto"/>
        <w:widowControl/>
        <w:spacing w:lineRule="auto" w:line="240" w:before="0" w:after="0"/>
        <w:ind w:left="0" w:right="0" w:hanging="0"/>
        <w:jc w:val="both"/>
        <w:rPr/>
      </w:pPr>
      <w:r>
        <w:rPr>
          <w:rStyle w:val="Nfase"/>
          <w:rFonts w:eastAsia="Times New Roman" w:cs="Arial"/>
          <w:b w:val="false"/>
          <w:i w:val="false"/>
          <w:iCs w:val="false"/>
          <w:color w:val="000000"/>
          <w:spacing w:val="0"/>
          <w:kern w:val="0"/>
          <w:sz w:val="22"/>
          <w:szCs w:val="22"/>
          <w:shd w:fill="auto" w:val="clear"/>
          <w:lang w:val="pt-BR" w:eastAsia="en-US" w:bidi="ar-SA"/>
        </w:rPr>
        <w:t xml:space="preserve">Com base no do Art. </w:t>
      </w:r>
      <w:r>
        <w:rPr>
          <w:rStyle w:val="Nfase"/>
          <w:rFonts w:eastAsia="Times New Roman" w:cs="Arial"/>
          <w:b w:val="false"/>
          <w:i w:val="false"/>
          <w:iCs w:val="false"/>
          <w:color w:val="3465A4"/>
          <w:spacing w:val="0"/>
          <w:kern w:val="0"/>
          <w:sz w:val="22"/>
          <w:szCs w:val="22"/>
          <w:shd w:fill="auto" w:val="clear"/>
          <w:lang w:val="pt-BR" w:eastAsia="en-US" w:bidi="ar-SA"/>
        </w:rPr>
        <w:t>XXXXX</w:t>
      </w:r>
      <w:r>
        <w:rPr>
          <w:rStyle w:val="Nfase"/>
          <w:rFonts w:eastAsia="Times New Roman" w:cs="Arial"/>
          <w:b w:val="false"/>
          <w:i w:val="false"/>
          <w:iCs w:val="false"/>
          <w:color w:val="000000"/>
          <w:spacing w:val="0"/>
          <w:kern w:val="0"/>
          <w:sz w:val="22"/>
          <w:szCs w:val="22"/>
          <w:shd w:fill="auto" w:val="clear"/>
          <w:lang w:val="pt-BR" w:eastAsia="en-US" w:bidi="ar-SA"/>
        </w:rPr>
        <w:t xml:space="preserve"> da Lei nº 14.133/2021, a Câmara Municipal de Santana da Vargem/MG, com sede na Praça Prefeito Hernani Pereira Scatolino, n.º 50, Centro, Santana da Vargem/MG, inscrita no CNPJ sob n° 00.589.501/0001-55, neste ato, representado pela Comissão de Compras/Contratação, designada pela Portaria n.º </w:t>
      </w:r>
      <w:r>
        <w:rPr>
          <w:rStyle w:val="Nfase"/>
          <w:rFonts w:eastAsia="Times New Roman" w:cs="Arial"/>
          <w:b w:val="false"/>
          <w:i w:val="false"/>
          <w:iCs w:val="false"/>
          <w:color w:val="3465A4"/>
          <w:spacing w:val="0"/>
          <w:kern w:val="0"/>
          <w:sz w:val="22"/>
          <w:szCs w:val="22"/>
          <w:shd w:fill="auto" w:val="clear"/>
          <w:lang w:val="pt-BR" w:eastAsia="en-US" w:bidi="ar-SA"/>
        </w:rPr>
        <w:t>XXXXX</w:t>
      </w:r>
      <w:r>
        <w:rPr>
          <w:rStyle w:val="Nfase"/>
          <w:rFonts w:eastAsia="Times New Roman" w:cs="Arial"/>
          <w:b w:val="false"/>
          <w:i w:val="false"/>
          <w:iCs w:val="false"/>
          <w:color w:val="000000"/>
          <w:spacing w:val="0"/>
          <w:kern w:val="0"/>
          <w:sz w:val="22"/>
          <w:szCs w:val="22"/>
          <w:shd w:fill="auto" w:val="clear"/>
          <w:lang w:val="pt-BR" w:eastAsia="en-US" w:bidi="ar-SA"/>
        </w:rPr>
        <w:t xml:space="preserve">, torna público que tem interesse na aquisição / contração: </w:t>
      </w:r>
      <w:r>
        <w:rPr>
          <w:rStyle w:val="Nfase"/>
          <w:rFonts w:eastAsia="Times New Roman" w:cs="Arial"/>
          <w:b w:val="false"/>
          <w:i w:val="false"/>
          <w:iCs w:val="false"/>
          <w:color w:val="3465A4"/>
          <w:spacing w:val="0"/>
          <w:kern w:val="0"/>
          <w:sz w:val="22"/>
          <w:szCs w:val="22"/>
          <w:shd w:fill="auto" w:val="clear"/>
          <w:lang w:val="pt-BR" w:eastAsia="en-US" w:bidi="ar-SA"/>
        </w:rPr>
        <w:t>descrever o objeto</w:t>
      </w:r>
      <w:r>
        <w:rPr>
          <w:rStyle w:val="Nfase"/>
          <w:rFonts w:eastAsia="Times New Roman" w:cs="Arial"/>
          <w:b w:val="false"/>
          <w:i w:val="false"/>
          <w:iCs w:val="false"/>
          <w:color w:val="000000"/>
          <w:spacing w:val="0"/>
          <w:kern w:val="0"/>
          <w:sz w:val="22"/>
          <w:szCs w:val="22"/>
          <w:shd w:fill="auto" w:val="clear"/>
          <w:lang w:val="pt-BR" w:eastAsia="en-US" w:bidi="ar-SA"/>
        </w:rPr>
        <w:t xml:space="preserve">, conforme Termo de Referência disponível no link </w:t>
      </w:r>
      <w:r>
        <w:rPr>
          <w:rStyle w:val="Nfase"/>
          <w:rFonts w:eastAsia="Times New Roman" w:cs="Arial"/>
          <w:b w:val="false"/>
          <w:i w:val="false"/>
          <w:iCs w:val="false"/>
          <w:color w:val="3465A4"/>
          <w:spacing w:val="0"/>
          <w:kern w:val="0"/>
          <w:sz w:val="22"/>
          <w:szCs w:val="22"/>
          <w:shd w:fill="auto" w:val="clear"/>
          <w:lang w:val="pt-BR" w:eastAsia="en-US" w:bidi="ar-SA"/>
        </w:rPr>
        <w:t>XXXXXXXX</w:t>
      </w:r>
      <w:r>
        <w:rPr>
          <w:rStyle w:val="Nfase"/>
          <w:rFonts w:eastAsia="Times New Roman" w:cs="Arial"/>
          <w:b w:val="false"/>
          <w:i w:val="false"/>
          <w:iCs w:val="false"/>
          <w:color w:val="000000"/>
          <w:spacing w:val="0"/>
          <w:kern w:val="0"/>
          <w:sz w:val="22"/>
          <w:szCs w:val="22"/>
          <w:shd w:fill="auto" w:val="clear"/>
          <w:lang w:val="pt-BR" w:eastAsia="en-US" w:bidi="ar-SA"/>
        </w:rPr>
        <w:t xml:space="preserve"> ou na sede da Câmara Municipal.</w:t>
      </w:r>
    </w:p>
    <w:p>
      <w:pPr>
        <w:pStyle w:val="Corpodotexto"/>
        <w:widowControl/>
        <w:spacing w:lineRule="auto" w:line="240" w:before="0" w:after="0"/>
        <w:ind w:left="0" w:right="0" w:hanging="0"/>
        <w:jc w:val="both"/>
        <w:rPr/>
      </w:pPr>
      <w:r>
        <w:rPr>
          <w:rFonts w:eastAsia="Times New Roman" w:cs="Arial"/>
          <w:i w:val="false"/>
          <w:iCs w:val="false"/>
          <w:color w:val="000000"/>
          <w:spacing w:val="0"/>
          <w:kern w:val="0"/>
          <w:sz w:val="22"/>
          <w:szCs w:val="22"/>
          <w:shd w:fill="auto" w:val="clear"/>
          <w:lang w:val="pt-BR" w:eastAsia="en-US" w:bidi="ar-SA"/>
        </w:rPr>
        <w:t> </w:t>
      </w:r>
      <w:r>
        <w:rPr>
          <w:rStyle w:val="Strong"/>
          <w:rFonts w:eastAsia="Times New Roman" w:cs="Arial"/>
          <w:b/>
          <w:i w:val="false"/>
          <w:iCs w:val="false"/>
          <w:color w:val="000000"/>
          <w:spacing w:val="0"/>
          <w:kern w:val="0"/>
          <w:sz w:val="22"/>
          <w:szCs w:val="22"/>
          <w:shd w:fill="auto" w:val="clear"/>
          <w:lang w:val="pt-BR" w:eastAsia="en-US" w:bidi="ar-SA"/>
        </w:rPr>
        <w:t xml:space="preserve">Limite para apresentação da Proposta de Preços: </w:t>
      </w:r>
      <w:r>
        <w:rPr>
          <w:rStyle w:val="Strong"/>
          <w:rFonts w:eastAsia="Times New Roman" w:cs="Arial"/>
          <w:b/>
          <w:i w:val="false"/>
          <w:iCs w:val="false"/>
          <w:color w:val="3465A4"/>
          <w:spacing w:val="0"/>
          <w:kern w:val="0"/>
          <w:sz w:val="22"/>
          <w:szCs w:val="22"/>
          <w:shd w:fill="auto" w:val="clear"/>
          <w:lang w:val="pt-BR" w:eastAsia="en-US" w:bidi="ar-SA"/>
        </w:rPr>
        <w:t>06 de fevereiro de 2024 às 13hs.</w:t>
      </w:r>
    </w:p>
    <w:p>
      <w:pPr>
        <w:pStyle w:val="Corpodotexto"/>
        <w:widowControl/>
        <w:spacing w:lineRule="auto" w:line="240" w:before="0" w:after="0"/>
        <w:ind w:left="0" w:right="0" w:hanging="0"/>
        <w:jc w:val="both"/>
        <w:rPr/>
      </w:pPr>
      <w:r>
        <w:rPr>
          <w:rStyle w:val="Nfase"/>
          <w:rFonts w:eastAsia="Times New Roman" w:cs="Arial"/>
          <w:b w:val="false"/>
          <w:i w:val="false"/>
          <w:iCs w:val="false"/>
          <w:color w:val="000000"/>
          <w:spacing w:val="0"/>
          <w:kern w:val="0"/>
          <w:sz w:val="22"/>
          <w:szCs w:val="22"/>
          <w:shd w:fill="auto" w:val="clear"/>
          <w:lang w:val="pt-BR" w:eastAsia="en-US" w:bidi="ar-SA"/>
        </w:rPr>
        <w:t>A proposta deverá ser entregue no Setor de Compras e Licitações sito na Praça Prefeito Hernani Pereira Scatolino, n.º 50, Centro, Santana da Vargem/MG, ou pelo e-mail:</w:t>
      </w:r>
      <w:r>
        <w:rPr>
          <w:rStyle w:val="Strong"/>
          <w:rFonts w:eastAsia="Times New Roman" w:cs="Arial"/>
          <w:color w:val="3465A4"/>
          <w:spacing w:val="0"/>
          <w:kern w:val="0"/>
          <w:sz w:val="22"/>
          <w:szCs w:val="22"/>
          <w:shd w:fill="auto" w:val="clear"/>
          <w:lang w:val="pt-BR" w:eastAsia="en-US" w:bidi="ar-SA"/>
        </w:rPr>
        <w:t>x</w:t>
      </w:r>
      <w:r>
        <w:rPr>
          <w:rStyle w:val="Strong"/>
          <w:rFonts w:eastAsia="Times New Roman" w:cs="Arial"/>
          <w:b/>
          <w:i w:val="false"/>
          <w:iCs w:val="false"/>
          <w:color w:val="3465A4"/>
          <w:spacing w:val="0"/>
          <w:kern w:val="0"/>
          <w:sz w:val="22"/>
          <w:szCs w:val="22"/>
          <w:shd w:fill="auto" w:val="clear"/>
          <w:lang w:val="pt-BR" w:eastAsia="en-US" w:bidi="ar-SA"/>
        </w:rPr>
        <w:t>xxxxxxxxxxx</w:t>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highlight w:val="none"/>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highlight w:val="none"/>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pPr>
      <w:r>
        <w:rPr>
          <w:rStyle w:val="Strong"/>
          <w:rFonts w:eastAsia="Times New Roman" w:cs="Arial"/>
          <w:b/>
          <w:i w:val="false"/>
          <w:iCs w:val="false"/>
          <w:color w:val="000000"/>
          <w:spacing w:val="0"/>
          <w:kern w:val="0"/>
          <w:sz w:val="22"/>
          <w:szCs w:val="22"/>
          <w:shd w:fill="auto" w:val="clear"/>
          <w:lang w:val="pt-BR" w:eastAsia="en-US" w:bidi="ar-SA"/>
        </w:rPr>
        <w:t xml:space="preserve">Santana da Vargem,  </w:t>
      </w:r>
      <w:r>
        <w:rPr>
          <w:rStyle w:val="Strong"/>
          <w:rFonts w:eastAsia="Times New Roman" w:cs="Arial"/>
          <w:b/>
          <w:i w:val="false"/>
          <w:iCs w:val="false"/>
          <w:color w:val="5983B0"/>
          <w:spacing w:val="0"/>
          <w:kern w:val="0"/>
          <w:sz w:val="22"/>
          <w:szCs w:val="22"/>
          <w:shd w:fill="auto" w:val="clear"/>
          <w:lang w:val="pt-BR" w:eastAsia="en-US" w:bidi="ar-SA"/>
        </w:rPr>
        <w:t>XXXX</w:t>
      </w:r>
      <w:r>
        <w:rPr>
          <w:rStyle w:val="Strong"/>
          <w:rFonts w:eastAsia="Times New Roman" w:cs="Arial"/>
          <w:b/>
          <w:i w:val="false"/>
          <w:iCs w:val="false"/>
          <w:color w:val="000000"/>
          <w:spacing w:val="0"/>
          <w:kern w:val="0"/>
          <w:sz w:val="22"/>
          <w:szCs w:val="22"/>
          <w:shd w:fill="auto" w:val="clear"/>
          <w:lang w:val="pt-BR" w:eastAsia="en-US" w:bidi="ar-SA"/>
        </w:rPr>
        <w:t xml:space="preserve"> de </w:t>
      </w:r>
      <w:r>
        <w:rPr>
          <w:rStyle w:val="Strong"/>
          <w:rFonts w:eastAsia="Times New Roman" w:cs="Arial"/>
          <w:b/>
          <w:i w:val="false"/>
          <w:iCs w:val="false"/>
          <w:color w:val="5983B0"/>
          <w:spacing w:val="0"/>
          <w:kern w:val="0"/>
          <w:sz w:val="22"/>
          <w:szCs w:val="22"/>
          <w:shd w:fill="auto" w:val="clear"/>
          <w:lang w:val="pt-BR" w:eastAsia="en-US" w:bidi="ar-SA"/>
        </w:rPr>
        <w:t xml:space="preserve">XXXX </w:t>
      </w:r>
      <w:r>
        <w:rPr>
          <w:rStyle w:val="Strong"/>
          <w:rFonts w:eastAsia="Times New Roman" w:cs="Arial"/>
          <w:b/>
          <w:i w:val="false"/>
          <w:iCs w:val="false"/>
          <w:color w:val="000000"/>
          <w:spacing w:val="0"/>
          <w:kern w:val="0"/>
          <w:sz w:val="22"/>
          <w:szCs w:val="22"/>
          <w:shd w:fill="auto" w:val="clear"/>
          <w:lang w:val="pt-BR" w:eastAsia="en-US" w:bidi="ar-SA"/>
        </w:rPr>
        <w:t>de 20</w:t>
      </w:r>
      <w:r>
        <w:rPr>
          <w:rStyle w:val="Strong"/>
          <w:rFonts w:eastAsia="Times New Roman" w:cs="Arial"/>
          <w:b/>
          <w:i w:val="false"/>
          <w:iCs w:val="false"/>
          <w:color w:val="5983B0"/>
          <w:spacing w:val="0"/>
          <w:kern w:val="0"/>
          <w:sz w:val="22"/>
          <w:szCs w:val="22"/>
          <w:shd w:fill="auto" w:val="clear"/>
          <w:lang w:val="pt-BR" w:eastAsia="en-US" w:bidi="ar-SA"/>
        </w:rPr>
        <w:t>XX.</w:t>
      </w:r>
    </w:p>
    <w:p>
      <w:pPr>
        <w:pStyle w:val="Corpodotexto"/>
        <w:widowControl/>
        <w:spacing w:lineRule="auto" w:line="240" w:before="0" w:after="0"/>
        <w:ind w:left="0" w:right="0" w:hanging="0"/>
        <w:jc w:val="both"/>
        <w:rPr/>
      </w:pPr>
      <w:r>
        <w:rPr>
          <w:rStyle w:val="Strong"/>
          <w:rFonts w:eastAsia="Times New Roman" w:cs="Arial"/>
          <w:b/>
          <w:i w:val="false"/>
          <w:iCs w:val="false"/>
          <w:color w:val="3465A4"/>
          <w:spacing w:val="0"/>
          <w:kern w:val="0"/>
          <w:sz w:val="22"/>
          <w:szCs w:val="22"/>
          <w:shd w:fill="auto" w:val="clear"/>
          <w:lang w:val="pt-BR" w:eastAsia="en-US" w:bidi="ar-SA"/>
        </w:rPr>
        <w:t>________________________</w:t>
      </w:r>
    </w:p>
    <w:p>
      <w:pPr>
        <w:pStyle w:val="Corpodotexto"/>
        <w:widowControl/>
        <w:spacing w:lineRule="auto" w:line="240" w:before="0" w:after="0"/>
        <w:ind w:left="0" w:right="0" w:hanging="0"/>
        <w:jc w:val="both"/>
        <w:rPr/>
      </w:pPr>
      <w:r>
        <w:rPr>
          <w:rStyle w:val="Strong"/>
          <w:rFonts w:eastAsia="Times New Roman" w:cs="Arial"/>
          <w:b/>
          <w:i w:val="false"/>
          <w:iCs w:val="false"/>
          <w:color w:val="3465A4"/>
          <w:spacing w:val="0"/>
          <w:kern w:val="0"/>
          <w:sz w:val="22"/>
          <w:szCs w:val="22"/>
          <w:shd w:fill="auto" w:val="clear"/>
          <w:lang w:val="pt-BR" w:eastAsia="en-US" w:bidi="ar-SA"/>
        </w:rPr>
        <w:t>Comissão de compras/contratação</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val="false"/>
          <w:b w:val="false"/>
          <w:bCs w:val="false"/>
          <w:i w:val="false"/>
          <w:i w:val="false"/>
          <w:iCs w:val="false"/>
          <w:color w:val="auto"/>
          <w:kern w:val="0"/>
          <w:sz w:val="22"/>
          <w:szCs w:val="22"/>
          <w:shd w:fill="auto" w:val="clear"/>
          <w:lang w:val="pt-BR" w:eastAsia="en-US" w:bidi="ar-SA"/>
        </w:rPr>
      </w:pPr>
      <w:r>
        <w:rPr>
          <w:rFonts w:eastAsia="Times New Roman" w:cs="Arial"/>
          <w:b w:val="false"/>
          <w:bCs w:val="false"/>
          <w:i w:val="false"/>
          <w:iCs w:val="false"/>
          <w:color w:val="000000"/>
          <w:kern w:val="0"/>
          <w:sz w:val="22"/>
          <w:szCs w:val="22"/>
          <w:shd w:fill="auto" w:val="clear"/>
          <w:lang w:val="pt-BR" w:eastAsia="en-US" w:bidi="ar-SA"/>
        </w:rPr>
      </w:r>
    </w:p>
    <w:p>
      <w:pPr>
        <w:pStyle w:val="Normal"/>
        <w:widowControl/>
        <w:suppressAutoHyphens w:val="false"/>
        <w:spacing w:lineRule="auto" w:line="240" w:before="120" w:after="120"/>
        <w:ind w:left="0" w:right="0" w:hanging="0"/>
        <w:jc w:val="center"/>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ANEXO IX</w:t>
      </w:r>
    </w:p>
    <w:p>
      <w:pPr>
        <w:pStyle w:val="Normal"/>
        <w:widowControl/>
        <w:suppressAutoHyphens w:val="false"/>
        <w:spacing w:lineRule="auto" w:line="240" w:before="120" w:after="120"/>
        <w:ind w:left="0" w:right="0" w:hanging="0"/>
        <w:jc w:val="both"/>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RAZÃO DA ESCOLHA DA MODALIDADE, DO CONTRATADO E JUSTIFICATIVA DO PREÇO</w:t>
      </w:r>
    </w:p>
    <w:p>
      <w:pPr>
        <w:pStyle w:val="Normal"/>
        <w:widowControl/>
        <w:suppressAutoHyphens w:val="false"/>
        <w:spacing w:lineRule="auto" w:line="240" w:before="120" w:after="120"/>
        <w:ind w:left="0" w:right="0" w:hanging="0"/>
        <w:jc w:val="both"/>
        <w:textAlignment w:val="auto"/>
        <w:rPr>
          <w:rFonts w:ascii="Times New Roman" w:hAnsi="Times New Roman" w:eastAsia="Times New Roman" w:cs="Arial"/>
          <w:b/>
          <w:b/>
          <w:bCs/>
          <w:i w:val="false"/>
          <w:i w:val="false"/>
          <w:iCs w:val="false"/>
          <w:color w:val="auto"/>
          <w:kern w:val="0"/>
          <w:sz w:val="22"/>
          <w:szCs w:val="22"/>
          <w:shd w:fill="auto" w:val="clear"/>
          <w:lang w:val="pt-BR" w:eastAsia="en-US" w:bidi="ar-SA"/>
        </w:rPr>
      </w:pPr>
      <w:r>
        <w:rPr>
          <w:rFonts w:eastAsia="Times New Roman" w:cs="Arial"/>
          <w:b/>
          <w:bCs/>
          <w:i w:val="false"/>
          <w:iCs w:val="false"/>
          <w:color w:val="000000"/>
          <w:kern w:val="0"/>
          <w:sz w:val="22"/>
          <w:szCs w:val="22"/>
          <w:shd w:fill="auto" w:val="clear"/>
          <w:lang w:val="pt-BR" w:eastAsia="en-US" w:bidi="ar-SA"/>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1. Da Justificativa da Dispensa ou Inexigibilidade de Licitação</w:t>
            </w:r>
          </w:p>
        </w:tc>
      </w:tr>
    </w:tbl>
    <w:p>
      <w:pPr>
        <w:pStyle w:val="Normal"/>
        <w:widowControl w:val="false"/>
        <w:suppressAutoHyphens w:val="true"/>
        <w:bidi w:val="0"/>
        <w:spacing w:lineRule="auto" w:line="240" w:before="0" w:after="0"/>
        <w:ind w:left="0" w:right="0" w:hanging="0"/>
        <w:jc w:val="both"/>
        <w:rPr>
          <w:rFonts w:ascii="Times New Roman" w:hAnsi="Times New Roman"/>
          <w:b w:val="false"/>
          <w:b w:val="false"/>
          <w:bCs w:val="false"/>
          <w:sz w:val="22"/>
          <w:szCs w:val="22"/>
        </w:rPr>
      </w:pPr>
      <w:r>
        <w:rPr>
          <w:b w:val="false"/>
          <w:bCs w:val="false"/>
          <w:sz w:val="22"/>
          <w:szCs w:val="22"/>
        </w:rPr>
      </w:r>
    </w:p>
    <w:p>
      <w:pPr>
        <w:pStyle w:val="Normal"/>
        <w:widowControl w:val="false"/>
        <w:suppressAutoHyphens w:val="true"/>
        <w:bidi w:val="0"/>
        <w:spacing w:lineRule="auto" w:line="240" w:before="0" w:after="0"/>
        <w:ind w:left="0" w:right="0" w:hanging="0"/>
        <w:jc w:val="both"/>
        <w:rPr>
          <w:rFonts w:ascii="Times New Roman" w:hAnsi="Times New Roman"/>
          <w:b w:val="false"/>
          <w:b w:val="false"/>
          <w:bCs w:val="false"/>
          <w:color w:val="3465A4"/>
          <w:sz w:val="22"/>
          <w:szCs w:val="22"/>
        </w:rPr>
      </w:pPr>
      <w:r>
        <w:rPr>
          <w:b w:val="false"/>
          <w:bCs w:val="false"/>
          <w:color w:val="3465A4"/>
          <w:sz w:val="22"/>
          <w:szCs w:val="22"/>
        </w:rPr>
        <w:t>Nota: Descrever os motivos que justificam a contratação por dispensa ou por inexigibilidade</w:t>
      </w:r>
    </w:p>
    <w:p>
      <w:pPr>
        <w:pStyle w:val="Normal"/>
        <w:widowControl w:val="false"/>
        <w:suppressAutoHyphens w:val="true"/>
        <w:bidi w:val="0"/>
        <w:spacing w:lineRule="auto" w:line="240" w:before="0" w:after="0"/>
        <w:ind w:left="0" w:right="0" w:hanging="0"/>
        <w:jc w:val="both"/>
        <w:rPr>
          <w:rFonts w:ascii="Times New Roman" w:hAnsi="Times New Roman"/>
          <w:b w:val="false"/>
          <w:b w:val="false"/>
          <w:bCs w:val="false"/>
          <w:sz w:val="22"/>
          <w:szCs w:val="22"/>
        </w:rPr>
      </w:pPr>
      <w:r>
        <w:rPr>
          <w:b w:val="false"/>
          <w:bCs w:val="false"/>
          <w:sz w:val="22"/>
          <w:szCs w:val="22"/>
        </w:rPr>
      </w:r>
    </w:p>
    <w:p>
      <w:pPr>
        <w:pStyle w:val="Normal"/>
        <w:widowControl w:val="false"/>
        <w:suppressAutoHyphens w:val="true"/>
        <w:bidi w:val="0"/>
        <w:spacing w:lineRule="auto" w:line="240" w:before="0" w:after="0"/>
        <w:ind w:left="0" w:right="0" w:hanging="0"/>
        <w:jc w:val="both"/>
        <w:rPr>
          <w:rFonts w:ascii="Times New Roman" w:hAnsi="Times New Roman"/>
          <w:b w:val="false"/>
          <w:b w:val="false"/>
          <w:bCs w:val="false"/>
          <w:sz w:val="22"/>
          <w:szCs w:val="22"/>
        </w:rPr>
      </w:pPr>
      <w:r>
        <w:rPr>
          <w:b w:val="false"/>
          <w:bCs w:val="false"/>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2. Da Razão da Escolha do Contratado</w:t>
            </w:r>
          </w:p>
        </w:tc>
      </w:tr>
    </w:tbl>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t xml:space="preserve">A empresa escolhida neste processo foi a </w:t>
      </w:r>
      <w:r>
        <w:rPr>
          <w:color w:val="3465A4"/>
          <w:sz w:val="22"/>
          <w:szCs w:val="22"/>
        </w:rPr>
        <w:t>XXXXXXX,</w:t>
      </w:r>
      <w:r>
        <w:rPr>
          <w:sz w:val="22"/>
          <w:szCs w:val="22"/>
        </w:rPr>
        <w:t xml:space="preserve"> inscrita no CNPJ: </w:t>
      </w:r>
      <w:r>
        <w:rPr>
          <w:color w:val="3465A4"/>
          <w:sz w:val="22"/>
          <w:szCs w:val="22"/>
        </w:rPr>
        <w:t>XXXXXX.</w:t>
      </w:r>
    </w:p>
    <w:p>
      <w:pPr>
        <w:pStyle w:val="Normal"/>
        <w:spacing w:lineRule="auto" w:line="240"/>
        <w:jc w:val="both"/>
        <w:rPr>
          <w:rFonts w:ascii="Times New Roman" w:hAnsi="Times New Roman"/>
          <w:sz w:val="22"/>
          <w:szCs w:val="22"/>
        </w:rPr>
      </w:pPr>
      <w:r>
        <w:rPr>
          <w:sz w:val="22"/>
          <w:szCs w:val="22"/>
        </w:rPr>
        <w:t xml:space="preserve">Em analise aos presentes autos, observamos que a prestação de serviços disponibilizados pela empresa supracitada é compatível e não apresenta diferença que venha influenciar na escolha, ficando esta vinculada a verificação da habilitação e de critérios do menor preço. </w:t>
      </w:r>
    </w:p>
    <w:p>
      <w:pPr>
        <w:pStyle w:val="Normal"/>
        <w:spacing w:lineRule="auto" w:line="240"/>
        <w:jc w:val="both"/>
        <w:rPr>
          <w:rFonts w:ascii="Times New Roman" w:hAnsi="Times New Roman"/>
          <w:sz w:val="22"/>
          <w:szCs w:val="22"/>
        </w:rPr>
      </w:pPr>
      <w:r>
        <w:rPr>
          <w:sz w:val="22"/>
          <w:szCs w:val="22"/>
        </w:rPr>
        <w:t xml:space="preserve">Além disso, a escolha do Fornecedor se deu principalmente, devido a redução dos custos </w:t>
      </w:r>
      <w:r>
        <w:rPr>
          <w:color w:val="3465A4"/>
          <w:sz w:val="22"/>
          <w:szCs w:val="22"/>
        </w:rPr>
        <w:t>………..</w:t>
      </w:r>
    </w:p>
    <w:p>
      <w:pPr>
        <w:pStyle w:val="Normal"/>
        <w:spacing w:lineRule="auto" w:line="240"/>
        <w:jc w:val="both"/>
        <w:rPr>
          <w:rFonts w:ascii="Times New Roman" w:hAnsi="Times New Roman"/>
          <w:color w:val="3465A4"/>
          <w:sz w:val="22"/>
          <w:szCs w:val="22"/>
        </w:rPr>
      </w:pPr>
      <w:r>
        <w:rPr>
          <w:color w:val="3465A4"/>
          <w:sz w:val="22"/>
          <w:szCs w:val="22"/>
        </w:rPr>
      </w:r>
    </w:p>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r>
    </w:p>
    <w:tbl>
      <w:tblPr>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3. Da Justificativa do Preço</w:t>
            </w:r>
          </w:p>
        </w:tc>
      </w:tr>
    </w:tbl>
    <w:p>
      <w:pPr>
        <w:pStyle w:val="Normal"/>
        <w:spacing w:lineRule="auto" w:line="240"/>
        <w:jc w:val="both"/>
        <w:rPr>
          <w:rFonts w:ascii="Times New Roman" w:hAnsi="Times New Roman"/>
          <w:sz w:val="22"/>
          <w:szCs w:val="22"/>
        </w:rPr>
      </w:pPr>
      <w:r>
        <w:rPr>
          <w:sz w:val="22"/>
          <w:szCs w:val="22"/>
        </w:rPr>
      </w:r>
    </w:p>
    <w:p>
      <w:pPr>
        <w:pStyle w:val="Normal"/>
        <w:spacing w:lineRule="auto" w:line="240"/>
        <w:jc w:val="both"/>
        <w:rPr>
          <w:rFonts w:ascii="Times New Roman" w:hAnsi="Times New Roman"/>
          <w:sz w:val="22"/>
          <w:szCs w:val="22"/>
        </w:rPr>
      </w:pPr>
      <w:r>
        <w:rPr>
          <w:sz w:val="22"/>
          <w:szCs w:val="22"/>
        </w:rPr>
        <w:t>O critério de menor preço deve presidir a escolha do adjudicatário direto como regra, e o meio de aferi-lo está em juntar ao processo, propostas compatíveis com o termo de referência, de acordo com a Lei 14.133/2021.</w:t>
      </w:r>
    </w:p>
    <w:p>
      <w:pPr>
        <w:pStyle w:val="Normal"/>
        <w:spacing w:lineRule="auto" w:line="240"/>
        <w:jc w:val="both"/>
        <w:rPr>
          <w:rFonts w:ascii="Times New Roman" w:hAnsi="Times New Roman"/>
          <w:sz w:val="22"/>
          <w:szCs w:val="22"/>
        </w:rPr>
      </w:pPr>
      <w:r>
        <w:rPr>
          <w:sz w:val="22"/>
          <w:szCs w:val="22"/>
        </w:rPr>
        <w:t xml:space="preserve"> </w:t>
      </w:r>
      <w:r>
        <w:rPr>
          <w:sz w:val="22"/>
          <w:szCs w:val="22"/>
        </w:rPr>
        <w:t>Em relação ao preço, verifica-se que os mesmos estão compatíveis com a realidade do mercado em se tratando de serviço similar, podendo a Administração adquiri-lo sem qualquer afronta à lei de regência dos certames licitatórios</w:t>
      </w:r>
      <w:r>
        <w:rPr>
          <w:color w:val="3465A4"/>
          <w:sz w:val="22"/>
          <w:szCs w:val="22"/>
        </w:rPr>
        <w:t xml:space="preserve">……. </w:t>
      </w:r>
    </w:p>
    <w:p>
      <w:pPr>
        <w:pStyle w:val="Normal"/>
        <w:spacing w:lineRule="auto" w:line="240"/>
        <w:jc w:val="both"/>
        <w:rPr>
          <w:rFonts w:ascii="Times New Roman" w:hAnsi="Times New Roman"/>
          <w:sz w:val="22"/>
          <w:szCs w:val="22"/>
        </w:rPr>
      </w:pPr>
      <w:r>
        <w:rPr>
          <w:sz w:val="22"/>
          <w:szCs w:val="22"/>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highlight w:val="none"/>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pPr>
      <w:r>
        <w:rPr>
          <w:rStyle w:val="Strong"/>
          <w:rFonts w:eastAsia="Times New Roman" w:cs="Arial"/>
          <w:b/>
          <w:i w:val="false"/>
          <w:iCs w:val="false"/>
          <w:color w:val="000000"/>
          <w:spacing w:val="0"/>
          <w:kern w:val="0"/>
          <w:sz w:val="22"/>
          <w:szCs w:val="22"/>
          <w:shd w:fill="auto" w:val="clear"/>
          <w:lang w:val="pt-BR" w:eastAsia="en-US" w:bidi="ar-SA"/>
        </w:rPr>
        <w:t xml:space="preserve">Santana da Vargem,  </w:t>
      </w:r>
      <w:r>
        <w:rPr>
          <w:rStyle w:val="Strong"/>
          <w:rFonts w:eastAsia="Times New Roman" w:cs="Arial"/>
          <w:b/>
          <w:i w:val="false"/>
          <w:iCs w:val="false"/>
          <w:color w:val="5983B0"/>
          <w:spacing w:val="0"/>
          <w:kern w:val="0"/>
          <w:sz w:val="22"/>
          <w:szCs w:val="22"/>
          <w:shd w:fill="auto" w:val="clear"/>
          <w:lang w:val="pt-BR" w:eastAsia="en-US" w:bidi="ar-SA"/>
        </w:rPr>
        <w:t>XXXX</w:t>
      </w:r>
      <w:r>
        <w:rPr>
          <w:rStyle w:val="Strong"/>
          <w:rFonts w:eastAsia="Times New Roman" w:cs="Arial"/>
          <w:b/>
          <w:i w:val="false"/>
          <w:iCs w:val="false"/>
          <w:color w:val="000000"/>
          <w:spacing w:val="0"/>
          <w:kern w:val="0"/>
          <w:sz w:val="22"/>
          <w:szCs w:val="22"/>
          <w:shd w:fill="auto" w:val="clear"/>
          <w:lang w:val="pt-BR" w:eastAsia="en-US" w:bidi="ar-SA"/>
        </w:rPr>
        <w:t xml:space="preserve"> de </w:t>
      </w:r>
      <w:r>
        <w:rPr>
          <w:rStyle w:val="Strong"/>
          <w:rFonts w:eastAsia="Times New Roman" w:cs="Arial"/>
          <w:b/>
          <w:i w:val="false"/>
          <w:iCs w:val="false"/>
          <w:color w:val="5983B0"/>
          <w:spacing w:val="0"/>
          <w:kern w:val="0"/>
          <w:sz w:val="22"/>
          <w:szCs w:val="22"/>
          <w:shd w:fill="auto" w:val="clear"/>
          <w:lang w:val="pt-BR" w:eastAsia="en-US" w:bidi="ar-SA"/>
        </w:rPr>
        <w:t xml:space="preserve">XXXX </w:t>
      </w:r>
      <w:r>
        <w:rPr>
          <w:rStyle w:val="Strong"/>
          <w:rFonts w:eastAsia="Times New Roman" w:cs="Arial"/>
          <w:b/>
          <w:i w:val="false"/>
          <w:iCs w:val="false"/>
          <w:color w:val="000000"/>
          <w:spacing w:val="0"/>
          <w:kern w:val="0"/>
          <w:sz w:val="22"/>
          <w:szCs w:val="22"/>
          <w:shd w:fill="auto" w:val="clear"/>
          <w:lang w:val="pt-BR" w:eastAsia="en-US" w:bidi="ar-SA"/>
        </w:rPr>
        <w:t>de 20</w:t>
      </w:r>
      <w:r>
        <w:rPr>
          <w:rStyle w:val="Strong"/>
          <w:rFonts w:eastAsia="Times New Roman" w:cs="Arial"/>
          <w:b/>
          <w:i w:val="false"/>
          <w:iCs w:val="false"/>
          <w:color w:val="5983B0"/>
          <w:spacing w:val="0"/>
          <w:kern w:val="0"/>
          <w:sz w:val="22"/>
          <w:szCs w:val="22"/>
          <w:shd w:fill="auto" w:val="clear"/>
          <w:lang w:val="pt-BR" w:eastAsia="en-US" w:bidi="ar-SA"/>
        </w:rPr>
        <w:t>XX.</w:t>
      </w:r>
    </w:p>
    <w:p>
      <w:pPr>
        <w:pStyle w:val="Corpodotexto"/>
        <w:widowControl/>
        <w:spacing w:lineRule="auto" w:line="240" w:before="0" w:after="0"/>
        <w:ind w:left="0" w:right="0" w:hanging="0"/>
        <w:jc w:val="both"/>
        <w:rPr/>
      </w:pPr>
      <w:r>
        <w:rPr>
          <w:rStyle w:val="Strong"/>
          <w:rFonts w:eastAsia="Times New Roman" w:cs="Arial"/>
          <w:b/>
          <w:i w:val="false"/>
          <w:iCs w:val="false"/>
          <w:color w:val="3465A4"/>
          <w:spacing w:val="0"/>
          <w:kern w:val="0"/>
          <w:sz w:val="22"/>
          <w:szCs w:val="22"/>
          <w:shd w:fill="auto" w:val="clear"/>
          <w:lang w:val="pt-BR" w:eastAsia="en-US" w:bidi="ar-SA"/>
        </w:rPr>
        <w:t>________________________</w:t>
      </w:r>
    </w:p>
    <w:p>
      <w:pPr>
        <w:pStyle w:val="Corpodotexto"/>
        <w:widowControl/>
        <w:spacing w:lineRule="auto" w:line="240" w:before="0" w:after="0"/>
        <w:ind w:left="0" w:right="0" w:hanging="0"/>
        <w:jc w:val="both"/>
        <w:rPr/>
      </w:pPr>
      <w:r>
        <w:rPr>
          <w:rStyle w:val="Strong"/>
          <w:rFonts w:eastAsia="Times New Roman" w:cs="Arial"/>
          <w:b/>
          <w:i w:val="false"/>
          <w:iCs w:val="false"/>
          <w:color w:val="3465A4"/>
          <w:spacing w:val="0"/>
          <w:kern w:val="0"/>
          <w:sz w:val="22"/>
          <w:szCs w:val="22"/>
          <w:shd w:fill="auto" w:val="clear"/>
          <w:lang w:val="pt-BR" w:eastAsia="en-US" w:bidi="ar-SA"/>
        </w:rPr>
        <w:t>Comissão de compras/contratação</w:t>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Corpodotexto"/>
        <w:widowControl/>
        <w:spacing w:lineRule="auto" w:line="240" w:before="0" w:after="0"/>
        <w:ind w:left="0" w:right="0" w:hanging="0"/>
        <w:jc w:val="both"/>
        <w:rPr>
          <w:rFonts w:ascii="Times New Roman" w:hAnsi="Times New Roman" w:eastAsia="Times New Roman" w:cs="Arial"/>
          <w:b/>
          <w:b/>
          <w:i w:val="false"/>
          <w:i w:val="false"/>
          <w:iCs w:val="false"/>
          <w:color w:val="3465A4"/>
          <w:spacing w:val="0"/>
          <w:kern w:val="0"/>
          <w:sz w:val="22"/>
          <w:szCs w:val="22"/>
          <w:shd w:fill="auto" w:val="clear"/>
          <w:lang w:val="pt-BR" w:eastAsia="en-US" w:bidi="ar-SA"/>
        </w:rPr>
      </w:pPr>
      <w:r>
        <w:rPr>
          <w:rFonts w:eastAsia="Times New Roman" w:cs="Arial"/>
          <w:b/>
          <w:i w:val="false"/>
          <w:iCs w:val="false"/>
          <w:color w:val="3465A4"/>
          <w:spacing w:val="0"/>
          <w:kern w:val="0"/>
          <w:sz w:val="22"/>
          <w:szCs w:val="22"/>
          <w:shd w:fill="auto" w:val="clear"/>
          <w:lang w:val="pt-BR" w:eastAsia="en-US" w:bidi="ar-SA"/>
        </w:rPr>
      </w:r>
    </w:p>
    <w:p>
      <w:pPr>
        <w:pStyle w:val="Normal"/>
        <w:widowControl/>
        <w:suppressAutoHyphens w:val="false"/>
        <w:spacing w:lineRule="auto" w:line="240" w:before="120" w:after="120"/>
        <w:ind w:left="0" w:right="0" w:hanging="0"/>
        <w:jc w:val="center"/>
        <w:textAlignment w:val="auto"/>
        <w:rPr>
          <w:rFonts w:ascii="Times New Roman" w:hAnsi="Times New Roman"/>
          <w:sz w:val="22"/>
          <w:szCs w:val="22"/>
        </w:rPr>
      </w:pPr>
      <w:r>
        <w:rPr>
          <w:rFonts w:eastAsia="Times New Roman" w:cs="Arial"/>
          <w:b/>
          <w:bCs/>
          <w:i w:val="false"/>
          <w:iCs w:val="false"/>
          <w:color w:val="000000"/>
          <w:kern w:val="0"/>
          <w:sz w:val="22"/>
          <w:szCs w:val="22"/>
          <w:shd w:fill="auto" w:val="clear"/>
          <w:lang w:val="pt-BR" w:eastAsia="en-US" w:bidi="ar-SA"/>
        </w:rPr>
        <w:t>ANEXO X</w:t>
      </w:r>
    </w:p>
    <w:p>
      <w:pPr>
        <w:pStyle w:val="Normal"/>
        <w:widowControl/>
        <w:suppressAutoHyphens w:val="false"/>
        <w:spacing w:lineRule="auto" w:line="240" w:before="120" w:after="120"/>
        <w:ind w:left="0" w:right="0" w:hanging="0"/>
        <w:jc w:val="center"/>
        <w:textAlignment w:val="auto"/>
        <w:rPr/>
      </w:pPr>
      <w:r>
        <w:rPr>
          <w:rStyle w:val="Strong"/>
          <w:rFonts w:eastAsia="Times New Roman" w:cs="Arial"/>
          <w:b/>
          <w:bCs/>
          <w:i w:val="false"/>
          <w:iCs w:val="false"/>
          <w:color w:val="000000"/>
          <w:spacing w:val="0"/>
          <w:kern w:val="0"/>
          <w:sz w:val="22"/>
          <w:szCs w:val="22"/>
          <w:shd w:fill="auto" w:val="clear"/>
          <w:lang w:val="pt-BR" w:eastAsia="en-US" w:bidi="ar-SA"/>
        </w:rPr>
        <w:t xml:space="preserve"> </w:t>
      </w:r>
      <w:r>
        <w:rPr>
          <w:rStyle w:val="Strong"/>
          <w:rFonts w:eastAsia="Times New Roman" w:cs="Arial"/>
          <w:b/>
          <w:bCs/>
          <w:i w:val="false"/>
          <w:iCs w:val="false"/>
          <w:color w:val="000000"/>
          <w:spacing w:val="0"/>
          <w:kern w:val="0"/>
          <w:sz w:val="22"/>
          <w:szCs w:val="22"/>
          <w:shd w:fill="auto" w:val="clear"/>
          <w:lang w:val="pt-BR" w:eastAsia="en-US" w:bidi="ar-SA"/>
        </w:rPr>
        <w:t>DA MINUTA CONTRATUAL</w:t>
      </w:r>
    </w:p>
    <w:p>
      <w:pPr>
        <w:pStyle w:val="Ttulo3"/>
        <w:widowControl/>
        <w:numPr>
          <w:ilvl w:val="0"/>
          <w:numId w:val="0"/>
        </w:numPr>
        <w:tabs>
          <w:tab w:val="clear" w:pos="720"/>
          <w:tab w:val="left" w:pos="851" w:leader="none"/>
        </w:tabs>
        <w:suppressAutoHyphens w:val="true"/>
        <w:spacing w:lineRule="auto" w:line="240" w:before="0" w:after="0"/>
        <w:ind w:left="1440" w:hanging="0"/>
        <w:jc w:val="both"/>
        <w:rPr>
          <w:rFonts w:ascii="Times New Roman" w:hAnsi="Times New Roman" w:cs="Arial"/>
          <w:b/>
          <w:b/>
          <w:color w:val="auto"/>
          <w:sz w:val="22"/>
          <w:szCs w:val="22"/>
          <w:highlight w:val="yellow"/>
        </w:rPr>
      </w:pPr>
      <w:r>
        <w:rPr>
          <w:rFonts w:cs="Arial" w:ascii="Times New Roman" w:hAnsi="Times New Roman"/>
          <w:b/>
          <w:color w:val="auto"/>
          <w:sz w:val="22"/>
          <w:szCs w:val="22"/>
          <w:highlight w:val="yellow"/>
        </w:rPr>
      </w:r>
    </w:p>
    <w:p>
      <w:pPr>
        <w:pStyle w:val="Ttulo3"/>
        <w:widowControl/>
        <w:numPr>
          <w:ilvl w:val="0"/>
          <w:numId w:val="0"/>
        </w:numPr>
        <w:tabs>
          <w:tab w:val="clear" w:pos="720"/>
          <w:tab w:val="left" w:pos="851" w:leader="none"/>
        </w:tabs>
        <w:suppressAutoHyphens w:val="true"/>
        <w:spacing w:lineRule="auto" w:line="240" w:before="0" w:after="0"/>
        <w:ind w:left="1440" w:hanging="0"/>
        <w:jc w:val="both"/>
        <w:rPr>
          <w:rFonts w:ascii="Times New Roman" w:hAnsi="Times New Roman"/>
          <w:sz w:val="22"/>
          <w:szCs w:val="22"/>
        </w:rPr>
      </w:pPr>
      <w:r>
        <w:rPr>
          <w:rFonts w:cs="Arial" w:ascii="Times New Roman" w:hAnsi="Times New Roman"/>
          <w:b/>
          <w:color w:val="000000"/>
          <w:sz w:val="22"/>
          <w:szCs w:val="22"/>
          <w:shd w:fill="auto" w:val="clear"/>
        </w:rPr>
        <w:t>DISPENSA</w:t>
      </w:r>
      <w:r>
        <w:rPr>
          <w:rFonts w:cs="Arial" w:ascii="Times New Roman" w:hAnsi="Times New Roman"/>
          <w:b/>
          <w:color w:val="0000FF"/>
          <w:sz w:val="22"/>
          <w:szCs w:val="22"/>
          <w:shd w:fill="auto" w:val="clear"/>
        </w:rPr>
        <w:t xml:space="preserve"> OU INEXIGIBILIDADE Nº</w:t>
      </w:r>
      <w:r>
        <w:rPr>
          <w:rFonts w:cs="Arial" w:ascii="Times New Roman" w:hAnsi="Times New Roman"/>
          <w:b/>
          <w:color w:val="0000FF"/>
          <w:sz w:val="22"/>
          <w:szCs w:val="22"/>
          <w:shd w:fill="auto" w:val="clear"/>
          <w:lang w:val="pt-BR"/>
        </w:rPr>
        <w:t xml:space="preserve"> 000/2024</w:t>
      </w:r>
    </w:p>
    <w:p>
      <w:pPr>
        <w:pStyle w:val="Ttulo3"/>
        <w:widowControl/>
        <w:numPr>
          <w:ilvl w:val="0"/>
          <w:numId w:val="0"/>
        </w:numPr>
        <w:tabs>
          <w:tab w:val="clear" w:pos="720"/>
          <w:tab w:val="left" w:pos="851" w:leader="none"/>
        </w:tabs>
        <w:suppressAutoHyphens w:val="true"/>
        <w:spacing w:lineRule="auto" w:line="240" w:before="0" w:after="0"/>
        <w:ind w:left="1440" w:hanging="0"/>
        <w:jc w:val="both"/>
        <w:rPr>
          <w:rFonts w:ascii="Times New Roman" w:hAnsi="Times New Roman"/>
          <w:sz w:val="22"/>
          <w:szCs w:val="22"/>
        </w:rPr>
      </w:pPr>
      <w:r>
        <w:rPr>
          <w:rFonts w:cs="Arial" w:ascii="Times New Roman" w:hAnsi="Times New Roman"/>
          <w:b/>
          <w:color w:val="000000"/>
          <w:sz w:val="22"/>
          <w:szCs w:val="22"/>
          <w:shd w:fill="auto" w:val="clear"/>
        </w:rPr>
        <w:t>PROCESSO LICITATÓRIO Nº</w:t>
      </w:r>
      <w:r>
        <w:rPr>
          <w:rFonts w:cs="Arial" w:ascii="Times New Roman" w:hAnsi="Times New Roman"/>
          <w:b/>
          <w:color w:val="000000"/>
          <w:sz w:val="22"/>
          <w:szCs w:val="22"/>
          <w:shd w:fill="auto" w:val="clear"/>
          <w:lang w:val="pt-BR"/>
        </w:rPr>
        <w:t xml:space="preserve"> </w:t>
      </w:r>
      <w:r>
        <w:rPr>
          <w:rFonts w:cs="Arial" w:ascii="Times New Roman" w:hAnsi="Times New Roman"/>
          <w:b/>
          <w:color w:val="0000FF"/>
          <w:sz w:val="22"/>
          <w:szCs w:val="22"/>
          <w:shd w:fill="auto" w:val="clear"/>
          <w:lang w:val="pt-BR"/>
        </w:rPr>
        <w:t>000/2024.</w:t>
      </w:r>
    </w:p>
    <w:p>
      <w:pPr>
        <w:pStyle w:val="NormalJustificado"/>
        <w:keepLines/>
        <w:widowControl/>
        <w:tabs>
          <w:tab w:val="clear" w:pos="720"/>
          <w:tab w:val="left" w:pos="0" w:leader="none"/>
          <w:tab w:val="left" w:pos="142" w:leader="none"/>
          <w:tab w:val="left" w:pos="284" w:leader="none"/>
          <w:tab w:val="left" w:pos="567" w:leader="none"/>
          <w:tab w:val="left" w:pos="851" w:leader="none"/>
        </w:tabs>
        <w:suppressAutoHyphens w:val="true"/>
        <w:bidi w:val="0"/>
        <w:spacing w:lineRule="auto" w:line="240" w:before="0" w:after="0"/>
        <w:ind w:left="0" w:right="0" w:firstLine="1474"/>
        <w:jc w:val="both"/>
        <w:rPr>
          <w:rFonts w:ascii="Times New Roman" w:hAnsi="Times New Roman"/>
          <w:sz w:val="22"/>
          <w:szCs w:val="22"/>
        </w:rPr>
      </w:pPr>
      <w:r>
        <w:rPr>
          <w:rFonts w:cs="Arial"/>
          <w:color w:val="000000"/>
          <w:sz w:val="22"/>
          <w:szCs w:val="22"/>
          <w:shd w:fill="auto" w:val="clear"/>
        </w:rPr>
        <w:t>CONTRATO N.º</w:t>
      </w:r>
      <w:r>
        <w:rPr>
          <w:rFonts w:cs="Arial"/>
          <w:color w:val="0000FF"/>
          <w:sz w:val="22"/>
          <w:szCs w:val="22"/>
          <w:shd w:fill="auto" w:val="clear"/>
        </w:rPr>
        <w:t xml:space="preserve"> XXXX/2024</w:t>
      </w:r>
    </w:p>
    <w:p>
      <w:pPr>
        <w:pStyle w:val="NormalJustificado"/>
        <w:keepLines/>
        <w:tabs>
          <w:tab w:val="clear" w:pos="720"/>
          <w:tab w:val="left" w:pos="0" w:leader="none"/>
          <w:tab w:val="left" w:pos="142" w:leader="none"/>
          <w:tab w:val="left" w:pos="284" w:leader="none"/>
          <w:tab w:val="left" w:pos="567" w:leader="none"/>
          <w:tab w:val="left" w:pos="851" w:leader="none"/>
        </w:tabs>
        <w:spacing w:lineRule="auto" w:line="240"/>
        <w:jc w:val="both"/>
        <w:rPr>
          <w:rFonts w:ascii="Times New Roman" w:hAnsi="Times New Roman" w:cs="Arial"/>
          <w:sz w:val="22"/>
          <w:szCs w:val="22"/>
          <w:highlight w:val="none"/>
          <w:shd w:fill="auto" w:val="clear"/>
        </w:rPr>
      </w:pPr>
      <w:r>
        <w:rPr>
          <w:rFonts w:cs="Arial"/>
          <w:sz w:val="22"/>
          <w:szCs w:val="22"/>
          <w:shd w:fill="auto" w:val="clear"/>
        </w:rPr>
      </w:r>
    </w:p>
    <w:p>
      <w:pPr>
        <w:pStyle w:val="Normal"/>
        <w:keepLines/>
        <w:tabs>
          <w:tab w:val="clear" w:pos="720"/>
          <w:tab w:val="left" w:pos="0" w:leader="none"/>
          <w:tab w:val="left" w:pos="851" w:leader="none"/>
        </w:tabs>
        <w:spacing w:lineRule="auto" w:line="240"/>
        <w:jc w:val="both"/>
        <w:rPr/>
      </w:pPr>
      <w:r>
        <w:rPr>
          <w:rStyle w:val="FontStyle18"/>
          <w:sz w:val="22"/>
          <w:szCs w:val="22"/>
          <w:lang w:val="pt-BR"/>
        </w:rPr>
        <w:t xml:space="preserve">CONTRATANTE: CÂMARA MUNICIPAL DE SANTANA DA VARGEM/MG, </w:t>
      </w:r>
      <w:r>
        <w:rPr>
          <w:sz w:val="22"/>
          <w:szCs w:val="22"/>
          <w:lang w:val="pt-BR"/>
        </w:rPr>
        <w:t xml:space="preserve"> com sede administrativa localizada </w:t>
      </w:r>
      <w:r>
        <w:rPr>
          <w:rStyle w:val="FontStyle22"/>
          <w:sz w:val="22"/>
          <w:szCs w:val="22"/>
          <w:lang w:val="pt-BR"/>
        </w:rPr>
        <w:t>na Praça Prefeito Hernani Pereira Scatolino, nº 50</w:t>
      </w:r>
      <w:r>
        <w:rPr>
          <w:rStyle w:val="FontStyle18"/>
          <w:sz w:val="22"/>
          <w:szCs w:val="22"/>
          <w:lang w:val="pt-BR"/>
        </w:rPr>
        <w:t xml:space="preserve">, </w:t>
      </w:r>
      <w:r>
        <w:rPr>
          <w:rStyle w:val="FontStyle18"/>
          <w:b w:val="false"/>
          <w:bCs w:val="false"/>
          <w:sz w:val="22"/>
          <w:szCs w:val="22"/>
          <w:lang w:val="pt-BR"/>
        </w:rPr>
        <w:t xml:space="preserve">neste ato </w:t>
      </w:r>
      <w:r>
        <w:rPr>
          <w:rStyle w:val="FontStyle22"/>
          <w:b w:val="false"/>
          <w:bCs w:val="false"/>
          <w:sz w:val="22"/>
          <w:szCs w:val="22"/>
          <w:lang w:val="pt-BR"/>
        </w:rPr>
        <w:t xml:space="preserve">representada pelo Senhor(a) Presidente </w:t>
      </w:r>
      <w:r>
        <w:rPr>
          <w:rStyle w:val="FontStyle22"/>
          <w:b w:val="false"/>
          <w:bCs w:val="false"/>
          <w:color w:val="3465A4"/>
          <w:sz w:val="22"/>
          <w:szCs w:val="22"/>
          <w:lang w:val="pt-BR"/>
        </w:rPr>
        <w:t>XXXXXXXXX</w:t>
      </w:r>
    </w:p>
    <w:p>
      <w:pPr>
        <w:pStyle w:val="Normal"/>
        <w:keepLines/>
        <w:tabs>
          <w:tab w:val="clear" w:pos="720"/>
          <w:tab w:val="left" w:pos="0" w:leader="none"/>
          <w:tab w:val="left" w:pos="851" w:leader="none"/>
        </w:tabs>
        <w:spacing w:lineRule="auto" w:line="240"/>
        <w:jc w:val="both"/>
        <w:rPr>
          <w:rFonts w:ascii="Times New Roman" w:hAnsi="Times New Roman"/>
          <w:sz w:val="22"/>
          <w:szCs w:val="22"/>
          <w:lang w:val="pt-BR"/>
        </w:rPr>
      </w:pPr>
      <w:r>
        <w:rPr>
          <w:sz w:val="22"/>
          <w:szCs w:val="22"/>
          <w:lang w:val="pt-BR"/>
        </w:rPr>
      </w:r>
    </w:p>
    <w:p>
      <w:pPr>
        <w:pStyle w:val="Normal"/>
        <w:keepLines/>
        <w:tabs>
          <w:tab w:val="clear" w:pos="720"/>
          <w:tab w:val="left" w:pos="0" w:leader="none"/>
          <w:tab w:val="left" w:pos="851" w:leader="none"/>
        </w:tabs>
        <w:spacing w:lineRule="auto" w:line="240"/>
        <w:jc w:val="both"/>
        <w:rPr>
          <w:rFonts w:ascii="Times New Roman" w:hAnsi="Times New Roman"/>
          <w:sz w:val="22"/>
          <w:szCs w:val="22"/>
        </w:rPr>
      </w:pPr>
      <w:r>
        <w:rPr>
          <w:b/>
          <w:sz w:val="22"/>
          <w:szCs w:val="22"/>
          <w:lang w:val="pt-BR"/>
        </w:rPr>
        <w:t>CONTRATA</w:t>
      </w:r>
      <w:r>
        <w:rPr>
          <w:b/>
          <w:sz w:val="22"/>
          <w:szCs w:val="22"/>
          <w:shd w:fill="auto" w:val="clear"/>
          <w:lang w:val="pt-BR"/>
        </w:rPr>
        <w:t xml:space="preserve">DO: </w:t>
      </w:r>
      <w:r>
        <w:rPr>
          <w:b/>
          <w:color w:val="3465A4"/>
          <w:sz w:val="22"/>
          <w:szCs w:val="22"/>
          <w:shd w:fill="auto" w:val="clear"/>
          <w:lang w:val="pt-BR"/>
        </w:rPr>
        <w:t>NOME DA EMPRESA,</w:t>
      </w:r>
      <w:r>
        <w:rPr>
          <w:b/>
          <w:sz w:val="22"/>
          <w:szCs w:val="22"/>
          <w:shd w:fill="auto" w:val="clear"/>
          <w:lang w:val="pt-BR"/>
        </w:rPr>
        <w:t xml:space="preserve"> </w:t>
      </w:r>
      <w:r>
        <w:rPr>
          <w:sz w:val="22"/>
          <w:szCs w:val="22"/>
          <w:shd w:fill="auto" w:val="clear"/>
          <w:lang w:val="pt-BR"/>
        </w:rPr>
        <w:t xml:space="preserve">inscrita no CNPJ sob o n.º </w:t>
      </w:r>
      <w:r>
        <w:rPr>
          <w:color w:val="3465A4"/>
          <w:sz w:val="22"/>
          <w:szCs w:val="22"/>
          <w:shd w:fill="auto" w:val="clear"/>
          <w:lang w:val="pt-BR"/>
        </w:rPr>
        <w:t>xxxxxxxx</w:t>
      </w:r>
      <w:r>
        <w:rPr>
          <w:sz w:val="22"/>
          <w:szCs w:val="22"/>
          <w:shd w:fill="auto" w:val="clear"/>
          <w:lang w:val="pt-BR"/>
        </w:rPr>
        <w:t xml:space="preserve">, com sede na </w:t>
      </w:r>
      <w:r>
        <w:rPr>
          <w:color w:val="3465A4"/>
          <w:sz w:val="22"/>
          <w:szCs w:val="22"/>
          <w:shd w:fill="auto" w:val="clear"/>
          <w:lang w:val="pt-BR"/>
        </w:rPr>
        <w:t>xxxxxxx,</w:t>
      </w:r>
      <w:r>
        <w:rPr>
          <w:sz w:val="22"/>
          <w:szCs w:val="22"/>
          <w:shd w:fill="auto" w:val="clear"/>
          <w:lang w:val="pt-BR"/>
        </w:rPr>
        <w:t xml:space="preserve"> neste ato representado(a) por </w:t>
      </w:r>
      <w:r>
        <w:rPr>
          <w:b/>
          <w:color w:val="3465A4"/>
          <w:sz w:val="22"/>
          <w:szCs w:val="22"/>
          <w:shd w:fill="auto" w:val="clear"/>
          <w:lang w:val="pt-BR"/>
        </w:rPr>
        <w:t>Nome</w:t>
      </w:r>
      <w:r>
        <w:rPr>
          <w:b/>
          <w:sz w:val="22"/>
          <w:szCs w:val="22"/>
          <w:shd w:fill="auto" w:val="clear"/>
          <w:lang w:val="pt-BR"/>
        </w:rPr>
        <w:t xml:space="preserve">, </w:t>
      </w:r>
      <w:r>
        <w:rPr>
          <w:sz w:val="22"/>
          <w:szCs w:val="22"/>
          <w:shd w:fill="auto" w:val="clear"/>
          <w:lang w:val="pt-BR"/>
        </w:rPr>
        <w:t xml:space="preserve"> função </w:t>
      </w:r>
      <w:r>
        <w:rPr>
          <w:color w:val="3465A4"/>
          <w:sz w:val="22"/>
          <w:szCs w:val="22"/>
          <w:shd w:fill="auto" w:val="clear"/>
          <w:lang w:val="pt-BR"/>
        </w:rPr>
        <w:t>xxxx</w:t>
      </w:r>
      <w:r>
        <w:rPr>
          <w:sz w:val="22"/>
          <w:szCs w:val="22"/>
          <w:shd w:fill="auto" w:val="clear"/>
          <w:lang w:val="pt-BR"/>
        </w:rPr>
        <w:t xml:space="preserve">, inscrito(a) no CPF sob o n.º </w:t>
      </w:r>
      <w:r>
        <w:rPr>
          <w:color w:val="3465A4"/>
          <w:sz w:val="22"/>
          <w:szCs w:val="22"/>
          <w:shd w:fill="auto" w:val="clear"/>
          <w:lang w:val="pt-BR"/>
        </w:rPr>
        <w:t>xxxxx</w:t>
      </w:r>
      <w:r>
        <w:rPr>
          <w:sz w:val="22"/>
          <w:szCs w:val="22"/>
          <w:shd w:fill="auto" w:val="clear"/>
          <w:lang w:val="pt-BR"/>
        </w:rPr>
        <w:t>, portador(a) da Cédula de Identidade n.º xxxxxx.</w:t>
      </w:r>
    </w:p>
    <w:p>
      <w:pPr>
        <w:pStyle w:val="NormalJustificado"/>
        <w:keepLines/>
        <w:tabs>
          <w:tab w:val="clear" w:pos="720"/>
          <w:tab w:val="left" w:pos="0" w:leader="none"/>
          <w:tab w:val="left" w:pos="142" w:leader="none"/>
          <w:tab w:val="left" w:pos="284" w:leader="none"/>
          <w:tab w:val="left" w:pos="567" w:leader="none"/>
          <w:tab w:val="left" w:pos="851" w:leader="none"/>
        </w:tabs>
        <w:spacing w:lineRule="auto" w:line="240"/>
        <w:jc w:val="both"/>
        <w:rPr>
          <w:rFonts w:ascii="Times New Roman" w:hAnsi="Times New Roman" w:cs="Arial"/>
          <w:sz w:val="22"/>
          <w:szCs w:val="22"/>
          <w:highlight w:val="none"/>
          <w:shd w:fill="auto" w:val="clear"/>
        </w:rPr>
      </w:pPr>
      <w:r>
        <w:rPr>
          <w:rFonts w:cs="Arial"/>
          <w:sz w:val="22"/>
          <w:szCs w:val="22"/>
          <w:shd w:fill="auto" w:val="clear"/>
        </w:rPr>
      </w:r>
    </w:p>
    <w:p>
      <w:pPr>
        <w:pStyle w:val="Normal"/>
        <w:tabs>
          <w:tab w:val="clear" w:pos="720"/>
          <w:tab w:val="left" w:pos="0" w:leader="none"/>
          <w:tab w:val="left" w:pos="851" w:leader="none"/>
        </w:tabs>
        <w:spacing w:lineRule="auto" w:line="240" w:before="120" w:after="288"/>
        <w:jc w:val="both"/>
        <w:rPr/>
      </w:pPr>
      <w:r>
        <w:rPr>
          <w:sz w:val="22"/>
          <w:szCs w:val="22"/>
        </w:rPr>
        <w:t>Tendo em vista o que consta no Processo nº</w:t>
      </w:r>
      <w:r>
        <w:rPr>
          <w:color w:val="3465A4"/>
          <w:sz w:val="22"/>
          <w:szCs w:val="22"/>
          <w:shd w:fill="auto" w:val="clear"/>
        </w:rPr>
        <w:t xml:space="preserve"> 000/2024</w:t>
      </w:r>
      <w:r>
        <w:rPr>
          <w:sz w:val="22"/>
          <w:szCs w:val="22"/>
        </w:rPr>
        <w:t xml:space="preserve"> e em observância às disposições da </w:t>
      </w:r>
      <w:hyperlink r:id="rId11">
        <w:r>
          <w:rPr>
            <w:rStyle w:val="LinkdaInternet"/>
            <w:color w:val="auto"/>
            <w:sz w:val="22"/>
            <w:szCs w:val="22"/>
          </w:rPr>
          <w:t>Lei nº 14.133, de 1º de abril de 2021</w:t>
        </w:r>
      </w:hyperlink>
      <w:r>
        <w:rPr>
          <w:sz w:val="22"/>
          <w:szCs w:val="22"/>
        </w:rPr>
        <w:t xml:space="preserve">, e demais legislação aplicável, resolvem celebrar o presente Termo de Contrato, decorrente </w:t>
      </w:r>
      <w:r>
        <w:rPr>
          <w:iCs/>
          <w:sz w:val="22"/>
          <w:szCs w:val="22"/>
        </w:rPr>
        <w:t xml:space="preserve">da Dispensa </w:t>
      </w:r>
      <w:r>
        <w:rPr>
          <w:iCs/>
          <w:color w:val="3465A4"/>
          <w:sz w:val="22"/>
          <w:szCs w:val="22"/>
        </w:rPr>
        <w:t>ou Inexigibilidade</w:t>
      </w:r>
      <w:r>
        <w:rPr>
          <w:iCs/>
          <w:sz w:val="22"/>
          <w:szCs w:val="22"/>
        </w:rPr>
        <w:t xml:space="preserve"> em epígrafe, </w:t>
      </w:r>
      <w:r>
        <w:rPr>
          <w:sz w:val="22"/>
          <w:szCs w:val="22"/>
        </w:rPr>
        <w:t>mediante as cláusulas e condições a seguir enunciadas.</w:t>
      </w:r>
    </w:p>
    <w:p>
      <w:pPr>
        <w:pStyle w:val="Nivel01"/>
        <w:numPr>
          <w:ilvl w:val="0"/>
          <w:numId w:val="0"/>
        </w:numPr>
        <w:tabs>
          <w:tab w:val="clear" w:pos="567"/>
          <w:tab w:val="left" w:pos="0" w:leader="none"/>
        </w:tabs>
        <w:spacing w:lineRule="auto" w:line="240" w:before="120" w:after="288"/>
        <w:ind w:left="0" w:hanging="0"/>
        <w:jc w:val="both"/>
        <w:rPr/>
      </w:pPr>
      <w:bookmarkStart w:id="37" w:name="_Toc124846877"/>
      <w:bookmarkStart w:id="38" w:name="_Toc155271659"/>
      <w:r>
        <w:rPr>
          <w:rFonts w:ascii="Times New Roman" w:hAnsi="Times New Roman"/>
          <w:color w:val="auto"/>
          <w:sz w:val="22"/>
          <w:szCs w:val="22"/>
        </w:rPr>
        <w:t>CLÁUSULA PRIMEIRA – OBJETO (</w:t>
      </w:r>
      <w:r>
        <w:fldChar w:fldCharType="begin"/>
      </w:r>
      <w:r>
        <w:rPr>
          <w:sz w:val="22"/>
          <w:szCs w:val="22"/>
          <w:rFonts w:ascii="Times New Roman" w:hAnsi="Times New Roman"/>
          <w:color w:val="auto"/>
        </w:rPr>
        <w:instrText xml:space="preserve"> HYPERLINK "http://www.planalto.gov.br/ccivil_03/_ato2019-2022/2021/lei/L14133.htm" \l "art92"</w:instrText>
      </w:r>
      <w:r>
        <w:rPr>
          <w:sz w:val="22"/>
          <w:szCs w:val="22"/>
          <w:rFonts w:ascii="Times New Roman" w:hAnsi="Times New Roman"/>
          <w:color w:val="auto"/>
        </w:rPr>
        <w:fldChar w:fldCharType="separate"/>
      </w:r>
      <w:r>
        <w:rPr>
          <w:rFonts w:ascii="Times New Roman" w:hAnsi="Times New Roman"/>
          <w:color w:val="auto"/>
          <w:sz w:val="22"/>
          <w:szCs w:val="22"/>
        </w:rPr>
        <w:t>art. 92, I e II</w:t>
      </w:r>
      <w:r>
        <w:rPr>
          <w:sz w:val="22"/>
          <w:szCs w:val="22"/>
          <w:rFonts w:ascii="Times New Roman" w:hAnsi="Times New Roman"/>
          <w:color w:val="auto"/>
        </w:rPr>
        <w:fldChar w:fldCharType="end"/>
      </w:r>
      <w:r>
        <w:rPr>
          <w:rFonts w:ascii="Times New Roman" w:hAnsi="Times New Roman"/>
          <w:color w:val="auto"/>
          <w:sz w:val="22"/>
          <w:szCs w:val="22"/>
        </w:rPr>
        <w:t>)</w:t>
      </w:r>
      <w:bookmarkEnd w:id="37"/>
      <w:bookmarkEnd w:id="38"/>
    </w:p>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1.1. O objeto do presente instrumento é a contratação/aquisição de</w:t>
      </w:r>
      <w:r>
        <w:rPr>
          <w:color w:val="auto"/>
          <w:sz w:val="22"/>
          <w:szCs w:val="22"/>
        </w:rPr>
        <w:t xml:space="preserve"> </w:t>
      </w:r>
      <w:r>
        <w:rPr>
          <w:color w:val="000000"/>
          <w:sz w:val="22"/>
          <w:szCs w:val="22"/>
          <w:shd w:fill="auto" w:val="clear"/>
        </w:rPr>
        <w:t>.</w:t>
      </w:r>
      <w:r>
        <w:rPr>
          <w:color w:val="3465A4"/>
          <w:sz w:val="22"/>
          <w:szCs w:val="22"/>
          <w:shd w:fill="auto" w:val="clear"/>
        </w:rPr>
        <w:t xml:space="preserve">........................., </w:t>
      </w:r>
      <w:r>
        <w:rPr>
          <w:sz w:val="22"/>
          <w:szCs w:val="22"/>
        </w:rPr>
        <w:t>nas condições estabelecidas no Termo de Referência.</w:t>
      </w:r>
    </w:p>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 xml:space="preserve">1.2. Detalhamento dos itens: </w:t>
      </w:r>
    </w:p>
    <w:tbl>
      <w:tblPr>
        <w:tblW w:w="5000" w:type="pct"/>
        <w:jc w:val="left"/>
        <w:tblInd w:w="113" w:type="dxa"/>
        <w:tblLayout w:type="fixed"/>
        <w:tblCellMar>
          <w:top w:w="0" w:type="dxa"/>
          <w:left w:w="108" w:type="dxa"/>
          <w:bottom w:w="0" w:type="dxa"/>
          <w:right w:w="108" w:type="dxa"/>
        </w:tblCellMar>
        <w:tblLook w:firstRow="1" w:noVBand="1" w:lastRow="0" w:firstColumn="1" w:lastColumn="0" w:noHBand="0" w:val="04a0"/>
      </w:tblPr>
      <w:tblGrid>
        <w:gridCol w:w="686"/>
        <w:gridCol w:w="2473"/>
        <w:gridCol w:w="1242"/>
        <w:gridCol w:w="1100"/>
        <w:gridCol w:w="1511"/>
        <w:gridCol w:w="1240"/>
        <w:gridCol w:w="960"/>
      </w:tblGrid>
      <w:tr>
        <w:trPr>
          <w:trHeight w:val="555" w:hRule="atLeast"/>
        </w:trPr>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ITEM</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ESPECIFICAÇÃO</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CÓDIGO</w:t>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UNIDADE DE MEDIDA</w:t>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sz w:val="22"/>
                <w:szCs w:val="22"/>
              </w:rPr>
              <w:t>QUANTIDADE</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sz w:val="22"/>
                <w:szCs w:val="22"/>
              </w:rPr>
              <w:t>VALOR UNITÁRIO</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sz w:val="22"/>
                <w:szCs w:val="22"/>
              </w:rPr>
              <w:t>VALOR TOTAL</w:t>
            </w:r>
          </w:p>
        </w:tc>
      </w:tr>
      <w:tr>
        <w:trPr/>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1</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r>
      <w:tr>
        <w:trPr/>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2</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r>
      <w:tr>
        <w:trPr/>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3</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r>
      <w:tr>
        <w:trPr/>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sz w:val="22"/>
                <w:szCs w:val="22"/>
              </w:rPr>
            </w:pPr>
            <w:r>
              <w:rPr>
                <w:rFonts w:cs="Courier New"/>
                <w:b/>
                <w:bCs/>
                <w:color w:val="000000" w:themeColor="text1"/>
                <w:sz w:val="22"/>
                <w:szCs w:val="22"/>
              </w:rPr>
              <w:t>...</w:t>
            </w:r>
          </w:p>
        </w:tc>
        <w:tc>
          <w:tcPr>
            <w:tcW w:w="24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sz w:val="22"/>
                <w:szCs w:val="22"/>
              </w:rPr>
            </w:pPr>
            <w:r>
              <w:rPr>
                <w:rFonts w:cs="Courier New"/>
                <w:sz w:val="22"/>
                <w:szCs w:val="22"/>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 w:val="left" w:pos="851" w:leader="none"/>
              </w:tabs>
              <w:spacing w:lineRule="auto" w:line="240" w:before="120" w:after="288"/>
              <w:jc w:val="both"/>
              <w:rPr>
                <w:rFonts w:ascii="Times New Roman" w:hAnsi="Times New Roman" w:cs="Courier New"/>
                <w:color w:val="000000"/>
                <w:sz w:val="22"/>
                <w:szCs w:val="22"/>
              </w:rPr>
            </w:pPr>
            <w:r>
              <w:rPr>
                <w:rFonts w:cs="Courier New"/>
                <w:color w:val="000000"/>
                <w:sz w:val="22"/>
                <w:szCs w:val="22"/>
              </w:rPr>
            </w:r>
          </w:p>
        </w:tc>
      </w:tr>
    </w:tbl>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1.3. Vinculam esta contratação, independentemente de transcrição:</w:t>
      </w:r>
    </w:p>
    <w:p>
      <w:pPr>
        <w:pStyle w:val="Nivel3"/>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1.3.1 O Termo de Referência;</w:t>
      </w:r>
    </w:p>
    <w:p>
      <w:pPr>
        <w:pStyle w:val="Nivel3"/>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1.3.2 O Edital;</w:t>
      </w:r>
    </w:p>
    <w:p>
      <w:pPr>
        <w:pStyle w:val="Nivel3"/>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1.3.3 A Proposta do contratado;</w:t>
      </w:r>
    </w:p>
    <w:p>
      <w:pPr>
        <w:pStyle w:val="Nivel3"/>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1.3.4 Eventuais anexos dos documentos supracitados.</w:t>
      </w:r>
    </w:p>
    <w:p>
      <w:pPr>
        <w:pStyle w:val="Nivel01"/>
        <w:numPr>
          <w:ilvl w:val="0"/>
          <w:numId w:val="13"/>
        </w:numPr>
        <w:tabs>
          <w:tab w:val="clear" w:pos="567"/>
          <w:tab w:val="left" w:pos="0" w:leader="none"/>
        </w:tabs>
        <w:spacing w:lineRule="auto" w:line="240" w:before="120" w:after="288"/>
        <w:ind w:left="0" w:hanging="360"/>
        <w:jc w:val="both"/>
        <w:rPr>
          <w:rFonts w:ascii="Times New Roman" w:hAnsi="Times New Roman"/>
          <w:sz w:val="22"/>
          <w:szCs w:val="22"/>
        </w:rPr>
      </w:pPr>
      <w:bookmarkStart w:id="39" w:name="_Toc124846878"/>
      <w:bookmarkStart w:id="40" w:name="_Toc155271660"/>
      <w:r>
        <w:rPr>
          <w:rFonts w:ascii="Times New Roman" w:hAnsi="Times New Roman"/>
          <w:color w:val="auto"/>
          <w:sz w:val="22"/>
          <w:szCs w:val="22"/>
        </w:rPr>
        <w:t>CLÁUSULA SEGUNDA – VIGÊNCIA E PRORROGAÇÃO</w:t>
      </w:r>
      <w:bookmarkEnd w:id="39"/>
      <w:bookmarkEnd w:id="40"/>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 prazo de vigência da contratação é de .............................. contados do(a) ............................., na forma do artigo 105 da Lei n° 14.133, de 2021.</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rPr>
        <w:t>OU</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 prazo de vigência da contratação é de .............................. (máximo de 5 anos) contados do(a) ............................., prorrogável por até 10 anos, na forma dos artigos 106 e 107 da Lei n° 14.133, de 2021.</w:t>
      </w:r>
    </w:p>
    <w:p>
      <w:pPr>
        <w:pStyle w:val="Nvel3R"/>
        <w:numPr>
          <w:ilvl w:val="2"/>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 fornecimento de bens é enquadrado como continuado tendo em vista que [...], sendo a vigência plurianual mais vantajosa considerando [...] OU o Estudo Técnico Preliminar OU os termos da Nota Técnica .../....</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3465A4"/>
          <w:sz w:val="22"/>
          <w:szCs w:val="22"/>
          <w:shd w:fill="auto" w:val="clear"/>
        </w:rPr>
        <w:t>O contrato oferece maior detalhamento das regras que serão aplicadas em relação à vigência da contratação.</w:t>
      </w:r>
    </w:p>
    <w:p>
      <w:pPr>
        <w:pStyle w:val="Nivel01"/>
        <w:numPr>
          <w:ilvl w:val="0"/>
          <w:numId w:val="14"/>
        </w:numPr>
        <w:tabs>
          <w:tab w:val="clear" w:pos="567"/>
          <w:tab w:val="left" w:pos="0" w:leader="none"/>
        </w:tabs>
        <w:spacing w:lineRule="auto" w:line="240" w:before="120" w:after="288"/>
        <w:ind w:left="0" w:hanging="284"/>
        <w:jc w:val="both"/>
        <w:rPr/>
      </w:pPr>
      <w:bookmarkStart w:id="41" w:name="_Toc124846879"/>
      <w:bookmarkStart w:id="42" w:name="_Toc155271661"/>
      <w:r>
        <w:rPr>
          <w:rFonts w:ascii="Times New Roman" w:hAnsi="Times New Roman"/>
          <w:color w:val="auto"/>
          <w:sz w:val="22"/>
          <w:szCs w:val="22"/>
        </w:rPr>
        <w:t>CLÁUSULA TERCEIRA – MODELOS DE EXECUÇÃO, PRAZO DE ENTREGA E GARANTIA E GESTÃO CONTRATUAIS (</w:t>
      </w:r>
      <w:r>
        <w:fldChar w:fldCharType="begin"/>
      </w:r>
      <w:r>
        <w:rPr>
          <w:sz w:val="22"/>
          <w:szCs w:val="22"/>
          <w:rFonts w:ascii="Times New Roman" w:hAnsi="Times New Roman"/>
          <w:color w:val="auto"/>
        </w:rPr>
        <w:instrText xml:space="preserve"> HYPERLINK "http://www.planalto.gov.br/ccivil_03/_ato2019-2022/2021/lei/L14133.htm" \l "art92"</w:instrText>
      </w:r>
      <w:r>
        <w:rPr>
          <w:sz w:val="22"/>
          <w:szCs w:val="22"/>
          <w:rFonts w:ascii="Times New Roman" w:hAnsi="Times New Roman"/>
          <w:color w:val="auto"/>
        </w:rPr>
        <w:fldChar w:fldCharType="separate"/>
      </w:r>
      <w:r>
        <w:rPr>
          <w:rFonts w:ascii="Times New Roman" w:hAnsi="Times New Roman"/>
          <w:color w:val="auto"/>
          <w:sz w:val="22"/>
          <w:szCs w:val="22"/>
        </w:rPr>
        <w:t>art. 92, IV, VII e XVIII)</w:t>
      </w:r>
      <w:r>
        <w:rPr>
          <w:sz w:val="22"/>
          <w:szCs w:val="22"/>
          <w:rFonts w:ascii="Times New Roman" w:hAnsi="Times New Roman"/>
          <w:color w:val="auto"/>
        </w:rPr>
        <w:fldChar w:fldCharType="end"/>
      </w:r>
      <w:bookmarkEnd w:id="41"/>
      <w:bookmarkEnd w:id="42"/>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3.1 O regime de execução contratual, os modelos de gestão e de execução, assim como os prazos e condições de conclusão, entrega, observação e recebimento do objeto constam no Termo de Referência.</w:t>
      </w:r>
    </w:p>
    <w:p>
      <w:pPr>
        <w:pStyle w:val="Nivel01"/>
        <w:numPr>
          <w:ilvl w:val="0"/>
          <w:numId w:val="14"/>
        </w:numPr>
        <w:tabs>
          <w:tab w:val="clear" w:pos="567"/>
          <w:tab w:val="left" w:pos="0" w:leader="none"/>
        </w:tabs>
        <w:spacing w:lineRule="auto" w:line="240" w:before="120" w:after="288"/>
        <w:ind w:left="0" w:hanging="284"/>
        <w:jc w:val="both"/>
        <w:rPr>
          <w:rFonts w:ascii="Times New Roman" w:hAnsi="Times New Roman"/>
          <w:sz w:val="22"/>
          <w:szCs w:val="22"/>
        </w:rPr>
      </w:pPr>
      <w:bookmarkStart w:id="43" w:name="_Toc124846880"/>
      <w:bookmarkStart w:id="44" w:name="_Toc155271662"/>
      <w:r>
        <w:rPr>
          <w:rFonts w:ascii="Times New Roman" w:hAnsi="Times New Roman"/>
          <w:color w:val="000000"/>
          <w:sz w:val="22"/>
          <w:szCs w:val="22"/>
          <w:shd w:fill="auto" w:val="clear"/>
        </w:rPr>
        <w:t>CLÁUSULA QUARTA – SUBCONTRATAÇÃO</w:t>
      </w:r>
      <w:bookmarkEnd w:id="43"/>
      <w:bookmarkEnd w:id="44"/>
    </w:p>
    <w:p>
      <w:pPr>
        <w:pStyle w:val="Nvel2Red"/>
        <w:numPr>
          <w:ilvl w:val="1"/>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Não será admitida a subcontratação do objeto contratual.</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lang w:eastAsia="zh-CN" w:bidi="hi-IN"/>
        </w:rPr>
        <w:t>OU</w:t>
      </w:r>
    </w:p>
    <w:p>
      <w:pPr>
        <w:pStyle w:val="Nvel2Red"/>
        <w:numPr>
          <w:ilvl w:val="1"/>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É permitida a subcontratação parcial do objeto, até o limite de ......% (..... por cento) do valor total do contrato, nas seguintes condições:</w:t>
      </w:r>
    </w:p>
    <w:p>
      <w:pPr>
        <w:pStyle w:val="Nvel3R"/>
        <w:numPr>
          <w:ilvl w:val="2"/>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 </w:t>
      </w:r>
      <w:r>
        <w:rPr>
          <w:i w:val="false"/>
          <w:color w:val="3465A4"/>
          <w:sz w:val="22"/>
          <w:szCs w:val="22"/>
          <w:shd w:fill="auto" w:val="clear"/>
        </w:rPr>
        <w:t>É vedada a subcontratação completa ou da parcela principal da obrigação, abaixo discriminada:</w:t>
      </w:r>
    </w:p>
    <w:p>
      <w:pPr>
        <w:pStyle w:val="Nvel4R"/>
        <w:numPr>
          <w:ilvl w:val="3"/>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rFonts w:ascii="Times New Roman" w:hAnsi="Times New Roman"/>
          <w:i w:val="false"/>
          <w:color w:val="3465A4"/>
          <w:sz w:val="22"/>
          <w:szCs w:val="22"/>
          <w:shd w:fill="auto" w:val="clear"/>
        </w:rPr>
        <w:t>...</w:t>
      </w:r>
    </w:p>
    <w:p>
      <w:pPr>
        <w:pStyle w:val="Nvel4R"/>
        <w:numPr>
          <w:ilvl w:val="3"/>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rFonts w:ascii="Times New Roman" w:hAnsi="Times New Roman"/>
          <w:i w:val="false"/>
          <w:color w:val="3465A4"/>
          <w:sz w:val="22"/>
          <w:szCs w:val="22"/>
          <w:shd w:fill="auto" w:val="clear"/>
        </w:rPr>
        <w:t>...</w:t>
      </w:r>
    </w:p>
    <w:p>
      <w:pPr>
        <w:pStyle w:val="Nvel3R"/>
        <w:numPr>
          <w:ilvl w:val="2"/>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Poderão ser subcontratadas as seguintes parcelas do objeto: </w:t>
      </w:r>
    </w:p>
    <w:p>
      <w:pPr>
        <w:pStyle w:val="Nvel4R"/>
        <w:numPr>
          <w:ilvl w:val="3"/>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rFonts w:ascii="Times New Roman" w:hAnsi="Times New Roman"/>
          <w:i w:val="false"/>
          <w:color w:val="3465A4"/>
          <w:sz w:val="22"/>
          <w:szCs w:val="22"/>
          <w:shd w:fill="auto" w:val="clear"/>
        </w:rPr>
        <w:t xml:space="preserve">.... </w:t>
      </w:r>
    </w:p>
    <w:p>
      <w:pPr>
        <w:pStyle w:val="Nvel4R"/>
        <w:numPr>
          <w:ilvl w:val="3"/>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rFonts w:ascii="Times New Roman" w:hAnsi="Times New Roman"/>
          <w:i w:val="false"/>
          <w:color w:val="3465A4"/>
          <w:sz w:val="22"/>
          <w:szCs w:val="22"/>
          <w:shd w:fill="auto" w:val="clear"/>
        </w:rPr>
        <w:t>....</w:t>
      </w:r>
    </w:p>
    <w:p>
      <w:pPr>
        <w:pStyle w:val="Nvel3R"/>
        <w:numPr>
          <w:ilvl w:val="2"/>
          <w:numId w:val="15"/>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pPr>
        <w:pStyle w:val="Nvel2Red"/>
        <w:widowControl/>
        <w:numPr>
          <w:ilvl w:val="0"/>
          <w:numId w:val="0"/>
        </w:numPr>
        <w:tabs>
          <w:tab w:val="clear" w:pos="720"/>
          <w:tab w:val="left" w:pos="0" w:leader="none"/>
          <w:tab w:val="left" w:pos="851" w:leader="none"/>
        </w:tabs>
        <w:suppressAutoHyphens w:val="true"/>
        <w:bidi w:val="0"/>
        <w:spacing w:lineRule="auto" w:line="240" w:before="120" w:after="288"/>
        <w:ind w:left="0" w:right="0" w:hanging="0"/>
        <w:jc w:val="both"/>
        <w:rPr>
          <w:rFonts w:ascii="Times New Roman" w:hAnsi="Times New Roman"/>
          <w:sz w:val="22"/>
          <w:szCs w:val="22"/>
        </w:rPr>
      </w:pPr>
      <w:r>
        <w:rPr>
          <w:i w:val="false"/>
          <w:color w:val="3465A4"/>
          <w:sz w:val="22"/>
          <w:szCs w:val="22"/>
          <w:shd w:fill="auto" w:val="clear"/>
        </w:rPr>
        <w:t>4.3A subcontratação depende de autorização prévia do contratante, a quem incumbe avaliar se o subcontratado cumpre os requisitos de qualificação técnica necessários para a execução do objeto</w:t>
      </w:r>
      <w:r>
        <w:rPr>
          <w:i w:val="false"/>
          <w:color w:val="auto"/>
          <w:sz w:val="22"/>
          <w:szCs w:val="22"/>
          <w:highlight w:val="yellow"/>
        </w:rPr>
        <w:t>.</w:t>
      </w:r>
    </w:p>
    <w:p>
      <w:pPr>
        <w:pStyle w:val="Nvel3R"/>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000000"/>
          <w:sz w:val="22"/>
          <w:szCs w:val="22"/>
          <w:shd w:fill="auto" w:val="clear"/>
        </w:rPr>
        <w:t xml:space="preserve">4.4 </w:t>
      </w:r>
      <w:r>
        <w:rPr>
          <w:i w:val="false"/>
          <w:color w:val="3465A4"/>
          <w:sz w:val="22"/>
          <w:szCs w:val="22"/>
          <w:shd w:fill="auto" w:val="clear"/>
        </w:rPr>
        <w:t>O contratado apresentará à Administração documentação que comprove a capacidade técnica do subcontratado, que será avaliada e juntada aos autos do processo correspondente.</w:t>
      </w:r>
    </w:p>
    <w:p>
      <w:pPr>
        <w:pStyle w:val="Nvel2Red"/>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color w:val="3465A4"/>
          <w:sz w:val="22"/>
          <w:szCs w:val="22"/>
        </w:rPr>
      </w:pPr>
      <w:r>
        <w:rPr>
          <w:i w:val="false"/>
          <w:color w:val="3465A4"/>
          <w:sz w:val="22"/>
          <w:szCs w:val="22"/>
          <w:shd w:fill="auto" w:val="clear"/>
        </w:rPr>
        <w:t>4.5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pPr>
        <w:pStyle w:val="Nivel01"/>
        <w:numPr>
          <w:ilvl w:val="0"/>
          <w:numId w:val="14"/>
        </w:numPr>
        <w:tabs>
          <w:tab w:val="clear" w:pos="567"/>
          <w:tab w:val="left" w:pos="0" w:leader="none"/>
        </w:tabs>
        <w:spacing w:lineRule="auto" w:line="240" w:before="120" w:after="288"/>
        <w:ind w:left="0" w:hanging="284"/>
        <w:jc w:val="both"/>
        <w:rPr>
          <w:rFonts w:ascii="Times New Roman" w:hAnsi="Times New Roman"/>
          <w:sz w:val="22"/>
          <w:szCs w:val="22"/>
        </w:rPr>
      </w:pPr>
      <w:bookmarkStart w:id="45" w:name="_Toc124846881"/>
      <w:bookmarkStart w:id="46" w:name="_Toc155271663"/>
      <w:r>
        <w:rPr>
          <w:rFonts w:ascii="Times New Roman" w:hAnsi="Times New Roman"/>
          <w:color w:val="auto"/>
          <w:sz w:val="22"/>
          <w:szCs w:val="22"/>
        </w:rPr>
        <w:t>CLÁUSULA QUINTA – PREÇO</w:t>
      </w:r>
      <w:bookmarkEnd w:id="45"/>
      <w:bookmarkEnd w:id="46"/>
    </w:p>
    <w:p>
      <w:pPr>
        <w:pStyle w:val="Nvel2Red"/>
        <w:numPr>
          <w:ilvl w:val="1"/>
          <w:numId w:val="16"/>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lang w:eastAsia="en-US"/>
        </w:rPr>
        <w:t>O valor mensal da contratação é de R$ .......... (.....), perfazendo o valor total de R$ ....... (....).</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lang w:eastAsia="en-US"/>
        </w:rPr>
        <w:t>OU</w:t>
      </w:r>
    </w:p>
    <w:p>
      <w:pPr>
        <w:pStyle w:val="Nvel2Red"/>
        <w:numPr>
          <w:ilvl w:val="1"/>
          <w:numId w:val="16"/>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 valor total da contratação é de R$.......... (.....)</w:t>
      </w:r>
    </w:p>
    <w:p>
      <w:pPr>
        <w:pStyle w:val="Nivel2"/>
        <w:numPr>
          <w:ilvl w:val="1"/>
          <w:numId w:val="16"/>
        </w:numPr>
        <w:tabs>
          <w:tab w:val="clear" w:pos="720"/>
          <w:tab w:val="left" w:pos="851" w:leader="none"/>
        </w:tabs>
        <w:spacing w:lineRule="auto" w:line="240" w:before="120" w:after="288"/>
        <w:ind w:left="0" w:hanging="0"/>
        <w:jc w:val="both"/>
        <w:rPr>
          <w:rFonts w:ascii="Times New Roman" w:hAnsi="Times New Roman"/>
          <w:sz w:val="22"/>
          <w:szCs w:val="22"/>
        </w:rPr>
      </w:pPr>
      <w:r>
        <w:rPr>
          <w:color w:val="000000"/>
          <w:sz w:val="22"/>
          <w:szCs w:val="22"/>
          <w:shd w:fill="auto" w:val="clear"/>
        </w:rPr>
        <w:t xml:space="preserve">No valor acima estão incluídas todas as despesas </w:t>
      </w:r>
      <w:r>
        <w:rPr>
          <w:color w:val="auto"/>
          <w:sz w:val="22"/>
          <w:szCs w:val="22"/>
        </w:rPr>
        <w:t>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ivel01"/>
        <w:numPr>
          <w:ilvl w:val="0"/>
          <w:numId w:val="14"/>
        </w:numPr>
        <w:tabs>
          <w:tab w:val="clear" w:pos="567"/>
        </w:tabs>
        <w:spacing w:lineRule="auto" w:line="240" w:before="120" w:after="288"/>
        <w:ind w:left="0" w:hanging="142"/>
        <w:jc w:val="both"/>
        <w:rPr/>
      </w:pPr>
      <w:bookmarkStart w:id="47" w:name="_Toc124846882"/>
      <w:bookmarkStart w:id="48" w:name="_Toc155271664"/>
      <w:r>
        <w:rPr>
          <w:rFonts w:ascii="Times New Roman" w:hAnsi="Times New Roman"/>
          <w:color w:val="auto"/>
          <w:sz w:val="22"/>
          <w:szCs w:val="22"/>
        </w:rPr>
        <w:t>CLÁUSULA SEXTA – PAGAMENTO (</w:t>
      </w:r>
      <w:r>
        <w:fldChar w:fldCharType="begin"/>
      </w:r>
      <w:r>
        <w:rPr>
          <w:sz w:val="22"/>
          <w:szCs w:val="22"/>
          <w:rFonts w:ascii="Times New Roman" w:hAnsi="Times New Roman"/>
          <w:color w:val="auto"/>
        </w:rPr>
        <w:instrText xml:space="preserve"> HYPERLINK "http://www.planalto.gov.br/ccivil_03/_ato2019-2022/2021/lei/L14133.htm" \l "art92"</w:instrText>
      </w:r>
      <w:r>
        <w:rPr>
          <w:sz w:val="22"/>
          <w:szCs w:val="22"/>
          <w:rFonts w:ascii="Times New Roman" w:hAnsi="Times New Roman"/>
          <w:color w:val="auto"/>
        </w:rPr>
        <w:fldChar w:fldCharType="separate"/>
      </w:r>
      <w:r>
        <w:rPr>
          <w:rFonts w:ascii="Times New Roman" w:hAnsi="Times New Roman"/>
          <w:color w:val="auto"/>
          <w:sz w:val="22"/>
          <w:szCs w:val="22"/>
        </w:rPr>
        <w:t>art. 92, V e VI</w:t>
      </w:r>
      <w:r>
        <w:rPr>
          <w:sz w:val="22"/>
          <w:szCs w:val="22"/>
          <w:rFonts w:ascii="Times New Roman" w:hAnsi="Times New Roman"/>
          <w:color w:val="auto"/>
        </w:rPr>
        <w:fldChar w:fldCharType="end"/>
      </w:r>
      <w:r>
        <w:rPr>
          <w:rFonts w:ascii="Times New Roman" w:hAnsi="Times New Roman"/>
          <w:color w:val="auto"/>
          <w:sz w:val="22"/>
          <w:szCs w:val="22"/>
        </w:rPr>
        <w:t>)</w:t>
      </w:r>
      <w:bookmarkEnd w:id="47"/>
      <w:bookmarkEnd w:id="48"/>
    </w:p>
    <w:p>
      <w:pPr>
        <w:pStyle w:val="Nivel2"/>
        <w:numPr>
          <w:ilvl w:val="0"/>
          <w:numId w:val="0"/>
        </w:numPr>
        <w:tabs>
          <w:tab w:val="clear" w:pos="720"/>
          <w:tab w:val="left" w:pos="851" w:leader="none"/>
          <w:tab w:val="left" w:pos="993" w:leader="none"/>
        </w:tabs>
        <w:spacing w:lineRule="auto" w:line="240" w:before="120" w:after="288"/>
        <w:ind w:left="0" w:hanging="0"/>
        <w:jc w:val="both"/>
        <w:rPr>
          <w:rFonts w:ascii="Times New Roman" w:hAnsi="Times New Roman"/>
          <w:sz w:val="22"/>
          <w:szCs w:val="22"/>
        </w:rPr>
      </w:pPr>
      <w:r>
        <w:rPr>
          <w:sz w:val="22"/>
          <w:szCs w:val="22"/>
          <w:lang w:eastAsia="en-US"/>
        </w:rPr>
        <w:t xml:space="preserve">6.1 </w:t>
      </w:r>
      <w:bookmarkStart w:id="49" w:name="_Toc124846883"/>
      <w:bookmarkStart w:id="50" w:name="_Toc155271665"/>
      <w:r>
        <w:rPr>
          <w:sz w:val="22"/>
          <w:szCs w:val="22"/>
          <w:lang w:eastAsia="en-US"/>
        </w:rPr>
        <w:t xml:space="preserve">O pagamento será efetuado no prazo de </w:t>
      </w:r>
      <w:r>
        <w:rPr>
          <w:rFonts w:eastAsia="" w:eastAsiaTheme="minorEastAsia"/>
          <w:b/>
          <w:color w:val="3465A4"/>
          <w:sz w:val="22"/>
          <w:szCs w:val="22"/>
          <w:shd w:fill="auto" w:val="clear"/>
          <w:lang w:eastAsia="en-US"/>
        </w:rPr>
        <w:t>10 (dez) dias</w:t>
      </w:r>
      <w:r>
        <w:rPr>
          <w:b/>
          <w:sz w:val="22"/>
          <w:szCs w:val="22"/>
          <w:lang w:eastAsia="en-US"/>
        </w:rPr>
        <w:t xml:space="preserve"> </w:t>
      </w:r>
      <w:r>
        <w:rPr>
          <w:sz w:val="22"/>
          <w:szCs w:val="22"/>
          <w:lang w:eastAsia="en-US"/>
        </w:rPr>
        <w:t>contados do aceite e conferência da nota fiscal nas compras de produtos ou prestação de serviços com entrega total.</w:t>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6.2 Devendo para isto a empresa vencedora apresentar Nota Fiscal Eletrônica demonstrando descrição correta dos itens, valores unitários e</w:t>
      </w:r>
      <w:r>
        <w:rPr>
          <w:spacing w:val="-9"/>
          <w:sz w:val="22"/>
          <w:szCs w:val="22"/>
        </w:rPr>
        <w:t xml:space="preserve"> </w:t>
      </w:r>
      <w:r>
        <w:rPr>
          <w:sz w:val="22"/>
          <w:szCs w:val="22"/>
        </w:rPr>
        <w:t>totais.</w:t>
      </w:r>
    </w:p>
    <w:p>
      <w:pPr>
        <w:pStyle w:val="ListParagraph"/>
        <w:keepLines/>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6.2 O pagamento será realizado por meio de ordem bancária, para crédito em banco, agência e conta-corrente indicados pelo contratado.</w:t>
      </w:r>
    </w:p>
    <w:p>
      <w:pPr>
        <w:pStyle w:val="ListParagraph"/>
        <w:keepLines/>
        <w:widowControl/>
        <w:numPr>
          <w:ilvl w:val="0"/>
          <w:numId w:val="0"/>
        </w:numPr>
        <w:tabs>
          <w:tab w:val="clear" w:pos="720"/>
          <w:tab w:val="left" w:pos="437" w:leader="none"/>
        </w:tabs>
        <w:spacing w:lineRule="auto" w:line="240"/>
        <w:ind w:left="0" w:hanging="0"/>
        <w:jc w:val="both"/>
        <w:rPr>
          <w:rFonts w:ascii="Times New Roman" w:hAnsi="Times New Roman"/>
          <w:sz w:val="22"/>
          <w:szCs w:val="22"/>
        </w:rPr>
      </w:pPr>
      <w:r>
        <w:rPr>
          <w:rFonts w:eastAsia="" w:eastAsiaTheme="minorEastAsia"/>
          <w:color w:val="000000"/>
          <w:sz w:val="22"/>
          <w:szCs w:val="22"/>
          <w:lang w:val="pt-BR"/>
        </w:rPr>
        <w:t>6.3 A CONTRATADA deverá constar na nota fiscal a retenção de imposto de renda, bem como informar o regime tributário o qual a empresa está enquadrada, em consonância ao Decreto Municipal n.º 12.814 de 31 de julho de 2023, sob pena de retenção do Imposto de Renda sobre o valor total do documento.</w:t>
      </w:r>
    </w:p>
    <w:p>
      <w:pPr>
        <w:pStyle w:val="ListParagraph"/>
        <w:tabs>
          <w:tab w:val="clear" w:pos="720"/>
          <w:tab w:val="left" w:pos="0" w:leader="none"/>
          <w:tab w:val="left" w:pos="437" w:leader="none"/>
        </w:tabs>
        <w:spacing w:lineRule="auto" w:line="240"/>
        <w:ind w:left="0" w:hanging="0"/>
        <w:jc w:val="both"/>
        <w:rPr>
          <w:rFonts w:ascii="Times New Roman" w:hAnsi="Times New Roman" w:eastAsia="" w:eastAsiaTheme="minorEastAsia"/>
          <w:color w:val="000000"/>
          <w:sz w:val="22"/>
          <w:szCs w:val="22"/>
          <w:lang w:val="pt-BR"/>
        </w:rPr>
      </w:pPr>
      <w:r>
        <w:rPr>
          <w:rFonts w:eastAsia="" w:eastAsiaTheme="minorEastAsia"/>
          <w:color w:val="000000"/>
          <w:sz w:val="22"/>
          <w:szCs w:val="22"/>
          <w:lang w:val="pt-BR"/>
        </w:rPr>
      </w:r>
    </w:p>
    <w:p>
      <w:pPr>
        <w:pStyle w:val="ListParagraph"/>
        <w:keepLines/>
        <w:widowControl/>
        <w:numPr>
          <w:ilvl w:val="0"/>
          <w:numId w:val="0"/>
        </w:numPr>
        <w:tabs>
          <w:tab w:val="clear" w:pos="720"/>
          <w:tab w:val="left" w:pos="851" w:leader="none"/>
        </w:tabs>
        <w:spacing w:lineRule="auto" w:line="240"/>
        <w:ind w:left="0" w:hanging="0"/>
        <w:jc w:val="both"/>
        <w:rPr>
          <w:rFonts w:ascii="Times New Roman" w:hAnsi="Times New Roman"/>
          <w:sz w:val="22"/>
          <w:szCs w:val="22"/>
        </w:rPr>
      </w:pPr>
      <w:r>
        <w:rPr>
          <w:rFonts w:eastAsia="" w:eastAsiaTheme="minorEastAsia"/>
          <w:color w:val="000000"/>
          <w:sz w:val="22"/>
          <w:szCs w:val="22"/>
          <w:lang w:val="pt-BR"/>
        </w:rPr>
        <w:t>6.4 A CONTRATADA deverá constar na nota fiscal os dados bancários para pagamento</w:t>
      </w:r>
    </w:p>
    <w:p>
      <w:pPr>
        <w:pStyle w:val="ListParagraph"/>
        <w:keepLines/>
        <w:tabs>
          <w:tab w:val="clear" w:pos="720"/>
          <w:tab w:val="left" w:pos="0" w:leader="none"/>
          <w:tab w:val="left" w:pos="663"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keepLines/>
        <w:numPr>
          <w:ilvl w:val="0"/>
          <w:numId w:val="0"/>
        </w:numPr>
        <w:tabs>
          <w:tab w:val="clear" w:pos="720"/>
          <w:tab w:val="left" w:pos="851" w:leader="none"/>
        </w:tabs>
        <w:spacing w:lineRule="auto" w:line="240"/>
        <w:ind w:left="0" w:hanging="0"/>
        <w:jc w:val="both"/>
        <w:rPr>
          <w:rFonts w:ascii="Times New Roman" w:hAnsi="Times New Roman"/>
          <w:sz w:val="22"/>
          <w:szCs w:val="22"/>
        </w:rPr>
      </w:pPr>
      <w:r>
        <w:rPr>
          <w:sz w:val="22"/>
          <w:szCs w:val="22"/>
        </w:rPr>
        <w:t>6.5 A Nota Fiscal correspondente deverá ser entregue pela licitante vencedora, diretamente ao representante da CONTRATANTE, que somente atestará a entrega das mercadorias e liberará a referida Nota Fiscal para pagamento, quando cumpridas, pela CONTRATADA</w:t>
      </w:r>
      <w:r>
        <w:rPr>
          <w:b/>
          <w:sz w:val="22"/>
          <w:szCs w:val="22"/>
        </w:rPr>
        <w:t xml:space="preserve">, </w:t>
      </w:r>
      <w:r>
        <w:rPr>
          <w:sz w:val="22"/>
          <w:szCs w:val="22"/>
        </w:rPr>
        <w:t>todas as condições pactuadas.</w:t>
      </w:r>
    </w:p>
    <w:p>
      <w:pPr>
        <w:pStyle w:val="Normal"/>
        <w:keepLines/>
        <w:tabs>
          <w:tab w:val="clear" w:pos="720"/>
          <w:tab w:val="left" w:pos="0" w:leader="none"/>
          <w:tab w:val="left" w:pos="658" w:leader="none"/>
          <w:tab w:val="left" w:pos="851" w:leader="none"/>
        </w:tabs>
        <w:spacing w:lineRule="auto" w:line="240"/>
        <w:jc w:val="both"/>
        <w:rPr>
          <w:rFonts w:ascii="Times New Roman" w:hAnsi="Times New Roman"/>
          <w:sz w:val="22"/>
          <w:szCs w:val="22"/>
        </w:rPr>
      </w:pPr>
      <w:r>
        <w:rPr>
          <w:sz w:val="22"/>
          <w:szCs w:val="22"/>
        </w:rPr>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6.6 Havendo erro na Nota Fiscal ou circunstância que impeça a liquidação da despesa, aquela será devolvida à CONTRATADA</w:t>
      </w:r>
      <w:r>
        <w:rPr>
          <w:b/>
          <w:sz w:val="22"/>
          <w:szCs w:val="22"/>
        </w:rPr>
        <w:t xml:space="preserve"> </w:t>
      </w:r>
      <w:r>
        <w:rPr>
          <w:sz w:val="22"/>
          <w:szCs w:val="22"/>
        </w:rPr>
        <w:t>pelo representante da CONTRATANTE</w:t>
      </w:r>
      <w:r>
        <w:rPr>
          <w:b/>
          <w:sz w:val="22"/>
          <w:szCs w:val="22"/>
        </w:rPr>
        <w:t xml:space="preserve"> </w:t>
      </w:r>
      <w:r>
        <w:rPr>
          <w:sz w:val="22"/>
          <w:szCs w:val="22"/>
        </w:rPr>
        <w:t>e o pagamento ficará pendente até que aquela providencie as medidas saneadoras. Nesta hipótese, o prazo para pagamento iniciar-se-á após a regularização da situação ou reapresentação do documento fiscal, não acarretando qualquer ônus para a</w:t>
      </w:r>
      <w:r>
        <w:rPr>
          <w:spacing w:val="-18"/>
          <w:sz w:val="22"/>
          <w:szCs w:val="22"/>
        </w:rPr>
        <w:t xml:space="preserve"> </w:t>
      </w:r>
      <w:r>
        <w:rPr>
          <w:sz w:val="22"/>
          <w:szCs w:val="22"/>
        </w:rPr>
        <w:t>CONTRATANTE</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6.7 O pagamento será realizado por meio de ordem bancária, para crédito em banco, agência e conta-corrente indicados pelo contratado.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6.8 Será considerada data do pagamento o dia em que constar como emitida a ordem bancária para pagamento.</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6.9 Quando do pagamento, será efetuada a retenção tributária prevista na legislação aplicável.</w:t>
      </w:r>
    </w:p>
    <w:p>
      <w:pPr>
        <w:pStyle w:val="Nivel2"/>
        <w:numPr>
          <w:ilvl w:val="0"/>
          <w:numId w:val="0"/>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lang w:eastAsia="en-US"/>
        </w:rPr>
        <w:t>6.10 Independentemente do percentual de tributo inserido na planilha, quando houver, serão retidos na fonte, quando da realização do pagamento, os percentuais estabelecidos na legislação vigente.</w:t>
      </w:r>
    </w:p>
    <w:p>
      <w:pPr>
        <w:pStyle w:val="Nivel01"/>
        <w:numPr>
          <w:ilvl w:val="0"/>
          <w:numId w:val="14"/>
        </w:numPr>
        <w:tabs>
          <w:tab w:val="clear" w:pos="567"/>
          <w:tab w:val="left" w:pos="0" w:leader="none"/>
        </w:tabs>
        <w:spacing w:lineRule="auto" w:line="240" w:before="120" w:after="288"/>
        <w:ind w:left="0" w:hanging="284"/>
        <w:jc w:val="both"/>
        <w:rPr/>
      </w:pPr>
      <w:r>
        <w:rPr>
          <w:rFonts w:ascii="Times New Roman" w:hAnsi="Times New Roman"/>
          <w:color w:val="auto"/>
          <w:sz w:val="22"/>
          <w:szCs w:val="22"/>
        </w:rPr>
        <w:t>CLÁUSULA SÉTIMA – REAJUSTAMENTO (</w:t>
      </w:r>
      <w:r>
        <w:fldChar w:fldCharType="begin"/>
      </w:r>
      <w:r>
        <w:rPr>
          <w:sz w:val="22"/>
          <w:szCs w:val="22"/>
          <w:rFonts w:ascii="Times New Roman" w:hAnsi="Times New Roman"/>
          <w:color w:val="auto"/>
        </w:rPr>
        <w:instrText xml:space="preserve"> HYPERLINK "http://www.planalto.gov.br/ccivil_03/_ato2019-2022/2021/lei/L14133.htm" \l "art92"</w:instrText>
      </w:r>
      <w:r>
        <w:rPr>
          <w:sz w:val="22"/>
          <w:szCs w:val="22"/>
          <w:rFonts w:ascii="Times New Roman" w:hAnsi="Times New Roman"/>
          <w:color w:val="auto"/>
        </w:rPr>
        <w:fldChar w:fldCharType="separate"/>
      </w:r>
      <w:r>
        <w:rPr>
          <w:rFonts w:ascii="Times New Roman" w:hAnsi="Times New Roman"/>
          <w:color w:val="auto"/>
          <w:sz w:val="22"/>
          <w:szCs w:val="22"/>
        </w:rPr>
        <w:t>art. 92, V)</w:t>
      </w:r>
      <w:r>
        <w:rPr>
          <w:sz w:val="22"/>
          <w:szCs w:val="22"/>
          <w:rFonts w:ascii="Times New Roman" w:hAnsi="Times New Roman"/>
          <w:color w:val="auto"/>
        </w:rPr>
        <w:fldChar w:fldCharType="end"/>
      </w:r>
      <w:bookmarkEnd w:id="49"/>
      <w:bookmarkEnd w:id="50"/>
    </w:p>
    <w:p>
      <w:pPr>
        <w:pStyle w:val="PlainText"/>
        <w:numPr>
          <w:ilvl w:val="0"/>
          <w:numId w:val="0"/>
        </w:numPr>
        <w:spacing w:lineRule="auto" w:line="240"/>
        <w:ind w:left="0" w:hanging="0"/>
        <w:jc w:val="both"/>
        <w:rPr>
          <w:rFonts w:ascii="Times New Roman" w:hAnsi="Times New Roman"/>
          <w:sz w:val="22"/>
          <w:szCs w:val="22"/>
        </w:rPr>
      </w:pPr>
      <w:r>
        <w:rPr>
          <w:rFonts w:cs="Arial" w:ascii="Times New Roman" w:hAnsi="Times New Roman"/>
          <w:sz w:val="22"/>
          <w:szCs w:val="22"/>
        </w:rPr>
        <w:t xml:space="preserve">7.1 </w:t>
      </w:r>
      <w:r>
        <w:rPr>
          <w:rFonts w:cs="Arial" w:ascii="Times New Roman" w:hAnsi="Times New Roman"/>
          <w:color w:val="3465A4"/>
          <w:sz w:val="22"/>
          <w:szCs w:val="22"/>
        </w:rPr>
        <w:t xml:space="preserve">Os contratos decorrentes poderão ser prorrogados sucessivamente, respeitada a vigência máxima decenal, nos termos do Artigo 107 da Lei Federal de nº 14.133/2021. Nota: quando for aplicável. </w:t>
      </w:r>
    </w:p>
    <w:p>
      <w:pPr>
        <w:pStyle w:val="PlainText"/>
        <w:spacing w:lineRule="auto" w:line="240"/>
        <w:jc w:val="both"/>
        <w:rPr>
          <w:rFonts w:ascii="Times New Roman" w:hAnsi="Times New Roman" w:cs="Arial"/>
          <w:sz w:val="22"/>
          <w:szCs w:val="22"/>
        </w:rPr>
      </w:pPr>
      <w:r>
        <w:rPr>
          <w:rFonts w:cs="Arial" w:ascii="Times New Roman" w:hAnsi="Times New Roman"/>
          <w:sz w:val="22"/>
          <w:szCs w:val="22"/>
        </w:rPr>
      </w:r>
    </w:p>
    <w:p>
      <w:pPr>
        <w:pStyle w:val="PlainText"/>
        <w:numPr>
          <w:ilvl w:val="0"/>
          <w:numId w:val="0"/>
        </w:numPr>
        <w:spacing w:lineRule="auto" w:line="240"/>
        <w:ind w:left="0" w:hanging="0"/>
        <w:jc w:val="both"/>
        <w:rPr>
          <w:rFonts w:ascii="Times New Roman" w:hAnsi="Times New Roman"/>
          <w:sz w:val="22"/>
          <w:szCs w:val="22"/>
        </w:rPr>
      </w:pPr>
      <w:r>
        <w:rPr>
          <w:rFonts w:cs="Arial" w:ascii="Times New Roman" w:hAnsi="Times New Roman"/>
          <w:sz w:val="22"/>
          <w:szCs w:val="22"/>
        </w:rPr>
        <w:t xml:space="preserve">7.2 Após o período de 12 meses, poderá haver o reajuste dos valores pelo índice IPCA fornecido pelo IBGE, que será concedido após a solicitação da contratada. </w:t>
      </w:r>
    </w:p>
    <w:p>
      <w:pPr>
        <w:pStyle w:val="PlainText"/>
        <w:spacing w:lineRule="auto" w:line="240"/>
        <w:jc w:val="both"/>
        <w:rPr>
          <w:rFonts w:ascii="Times New Roman" w:hAnsi="Times New Roman" w:cs="Arial"/>
          <w:sz w:val="22"/>
          <w:szCs w:val="22"/>
        </w:rPr>
      </w:pPr>
      <w:r>
        <w:rPr>
          <w:rFonts w:cs="Arial" w:ascii="Times New Roman" w:hAnsi="Times New Roman"/>
          <w:sz w:val="22"/>
          <w:szCs w:val="22"/>
        </w:rPr>
      </w:r>
    </w:p>
    <w:p>
      <w:pPr>
        <w:pStyle w:val="PlainText"/>
        <w:numPr>
          <w:ilvl w:val="0"/>
          <w:numId w:val="0"/>
        </w:numPr>
        <w:spacing w:lineRule="auto" w:line="240"/>
        <w:ind w:left="0" w:hanging="0"/>
        <w:jc w:val="both"/>
        <w:rPr>
          <w:rFonts w:ascii="Times New Roman" w:hAnsi="Times New Roman"/>
          <w:sz w:val="22"/>
          <w:szCs w:val="22"/>
        </w:rPr>
      </w:pPr>
      <w:r>
        <w:rPr>
          <w:rFonts w:cs="Arial" w:ascii="Times New Roman" w:hAnsi="Times New Roman"/>
          <w:sz w:val="22"/>
          <w:szCs w:val="22"/>
        </w:rPr>
        <w:t xml:space="preserve">7.3 Conforme disposto no Inciso I e Caput do Artigo 124 da Lei Federal de nº 14.133/2021, os contratos firmados poderão ser alterados com as devidas justificativas, unilateral pela autarquia, quando houver modificação do projeto ou das especificações, para melhor adequação técnica a seus objetivos e quando necessária a modificação do valor contratual em decorrência de acréscimo ou diluição quantitativa de seu objeto, nos limites de até 25% (vinte e cinco por cento) do valor inicial do contrato para obras, serviços e compras e de 50% (cinquenta por cento) no caso de reforma de edifício ou de equipamentos. Poderá também ser aditado bilateralmente para manter o equilíbrio econômico e financeiro inicial do contrato em casos de força maior, caso fortuito e fato do príncipe, em decorrência de fatos imprevisíveis ou previsíveis de consequências incalculáveis que inviabilizem a sua execução, conforme pactuado. </w:t>
      </w:r>
    </w:p>
    <w:p>
      <w:pPr>
        <w:pStyle w:val="PlainText"/>
        <w:spacing w:lineRule="auto" w:line="240"/>
        <w:jc w:val="both"/>
        <w:rPr>
          <w:rFonts w:ascii="Times New Roman" w:hAnsi="Times New Roman" w:cs="Arial"/>
          <w:sz w:val="22"/>
          <w:szCs w:val="22"/>
        </w:rPr>
      </w:pPr>
      <w:r>
        <w:rPr>
          <w:rFonts w:cs="Arial" w:ascii="Times New Roman" w:hAnsi="Times New Roman"/>
          <w:sz w:val="22"/>
          <w:szCs w:val="22"/>
        </w:rPr>
      </w:r>
    </w:p>
    <w:p>
      <w:pPr>
        <w:pStyle w:val="PlainText"/>
        <w:numPr>
          <w:ilvl w:val="0"/>
          <w:numId w:val="0"/>
        </w:numPr>
        <w:spacing w:lineRule="auto" w:line="240"/>
        <w:ind w:left="0" w:hanging="0"/>
        <w:jc w:val="both"/>
        <w:rPr>
          <w:rFonts w:ascii="Times New Roman" w:hAnsi="Times New Roman"/>
          <w:sz w:val="22"/>
          <w:szCs w:val="22"/>
        </w:rPr>
      </w:pPr>
      <w:r>
        <w:rPr>
          <w:rFonts w:cs="Arial" w:ascii="Times New Roman" w:hAnsi="Times New Roman"/>
          <w:sz w:val="22"/>
          <w:szCs w:val="22"/>
        </w:rPr>
        <w:t xml:space="preserve">7.4 Conforme disposto no Caput do Artigo 129 da Lei Federal de nº 14.133/2021, quando da alteração contratual para supressão de obras, bens e serviços, se o contratado já houver adquirido os materiais e o colocado no local dos trabalhos, ou ainda, ter prestado os serviços, estes deverão ser pagos pelo Câmara Municipal, pelos custos regularmente comprovados e monetariamente reajustados, podendo ainda caber indenização por outros danos eventualmente decorrentes da supressão, desde que regularmente comprovados. </w:t>
      </w:r>
    </w:p>
    <w:p>
      <w:pPr>
        <w:pStyle w:val="PlainText"/>
        <w:spacing w:lineRule="auto" w:line="240"/>
        <w:jc w:val="both"/>
        <w:rPr>
          <w:rFonts w:ascii="Times New Roman" w:hAnsi="Times New Roman" w:cs="Arial"/>
          <w:sz w:val="22"/>
          <w:szCs w:val="22"/>
        </w:rPr>
      </w:pPr>
      <w:r>
        <w:rPr>
          <w:rFonts w:cs="Arial" w:ascii="Times New Roman" w:hAnsi="Times New Roman"/>
          <w:sz w:val="22"/>
          <w:szCs w:val="22"/>
        </w:rPr>
      </w:r>
    </w:p>
    <w:p>
      <w:pPr>
        <w:pStyle w:val="PlainText"/>
        <w:numPr>
          <w:ilvl w:val="0"/>
          <w:numId w:val="0"/>
        </w:numPr>
        <w:spacing w:lineRule="auto" w:line="240"/>
        <w:ind w:left="0" w:hanging="0"/>
        <w:jc w:val="both"/>
        <w:rPr>
          <w:rFonts w:ascii="Times New Roman" w:hAnsi="Times New Roman"/>
          <w:sz w:val="22"/>
          <w:szCs w:val="22"/>
        </w:rPr>
      </w:pPr>
      <w:r>
        <w:rPr>
          <w:rFonts w:cs="Arial" w:ascii="Times New Roman" w:hAnsi="Times New Roman"/>
          <w:sz w:val="22"/>
          <w:szCs w:val="22"/>
        </w:rPr>
        <w:t>7.5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r>
        <w:rPr>
          <w:rFonts w:cs="Arial" w:ascii="Times New Roman" w:hAnsi="Times New Roman"/>
          <w:bCs/>
          <w:sz w:val="22"/>
          <w:szCs w:val="22"/>
        </w:rPr>
        <w:t>, nos termos do artigo 134 da Lei Federal de nº 14.133/2021</w:t>
      </w:r>
      <w:r>
        <w:rPr>
          <w:rFonts w:cs="Arial" w:ascii="Times New Roman" w:hAnsi="Times New Roman"/>
          <w:b/>
          <w:bCs/>
          <w:sz w:val="22"/>
          <w:szCs w:val="22"/>
        </w:rPr>
        <w:t>.</w:t>
      </w:r>
    </w:p>
    <w:p>
      <w:pPr>
        <w:pStyle w:val="Nivel01"/>
        <w:numPr>
          <w:ilvl w:val="0"/>
          <w:numId w:val="14"/>
        </w:numPr>
        <w:tabs>
          <w:tab w:val="clear" w:pos="567"/>
          <w:tab w:val="left" w:pos="851" w:leader="none"/>
        </w:tabs>
        <w:spacing w:lineRule="auto" w:line="240" w:before="120" w:after="288"/>
        <w:ind w:left="0" w:hanging="709"/>
        <w:jc w:val="both"/>
        <w:rPr/>
      </w:pPr>
      <w:bookmarkStart w:id="51" w:name="_Toc124846884"/>
      <w:bookmarkStart w:id="52" w:name="_Toc155271666"/>
      <w:r>
        <w:rPr>
          <w:rFonts w:ascii="Times New Roman" w:hAnsi="Times New Roman"/>
          <w:color w:val="auto"/>
          <w:sz w:val="22"/>
          <w:szCs w:val="22"/>
        </w:rPr>
        <w:t>CLÁUSULA OITAVA – OBRIGAÇÕES DO CONTRATANTE (</w:t>
      </w:r>
      <w:r>
        <w:fldChar w:fldCharType="begin"/>
      </w:r>
      <w:r>
        <w:rPr>
          <w:rStyle w:val="LinkdaInternet"/>
          <w:sz w:val="22"/>
          <w:szCs w:val="22"/>
          <w:rFonts w:ascii="Times New Roman" w:hAnsi="Times New Roman"/>
          <w:color w:val="auto"/>
        </w:rPr>
        <w:instrText xml:space="preserve"> HYPERLINK "http://www.planalto.gov.br/ccivil_03/_ato2019-2022/2021/lei/L14133.htm" \l "art92"</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X, XI e XIV</w:t>
      </w:r>
      <w:r>
        <w:rPr>
          <w:rStyle w:val="LinkdaInternet"/>
          <w:sz w:val="22"/>
          <w:szCs w:val="22"/>
          <w:rFonts w:ascii="Times New Roman" w:hAnsi="Times New Roman"/>
          <w:color w:val="auto"/>
        </w:rPr>
        <w:fldChar w:fldCharType="end"/>
      </w:r>
      <w:r>
        <w:rPr>
          <w:rFonts w:ascii="Times New Roman" w:hAnsi="Times New Roman"/>
          <w:color w:val="auto"/>
          <w:sz w:val="22"/>
          <w:szCs w:val="22"/>
        </w:rPr>
        <w:t>)</w:t>
      </w:r>
      <w:bookmarkEnd w:id="51"/>
      <w:bookmarkEnd w:id="52"/>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São obrigações do Contratante:</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Exigir o cumprimento de todas as obrigações assumidas pelo Contratado, de acordo com o contrato e seus anexos;</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Receber o objeto no prazo e condições estabelecidas no Termo de Referência;</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Rejeitar, no todo ou em parte, fornecimento executado em desacordo com o CONTRATO </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Notificar o Contratado, por escrito, sobre vícios, defeitos ou incorreções verificadas no objeto fornecido, para que seja por ele substituído, reparado ou corrigido, no total ou em parte, às suas expensas;</w:t>
      </w:r>
    </w:p>
    <w:p>
      <w:pPr>
        <w:pStyle w:val="ListParagraph"/>
        <w:numPr>
          <w:ilvl w:val="1"/>
          <w:numId w:val="14"/>
        </w:numPr>
        <w:tabs>
          <w:tab w:val="clear" w:pos="720"/>
          <w:tab w:val="left" w:pos="787" w:leader="none"/>
          <w:tab w:val="left" w:pos="851" w:leader="none"/>
        </w:tabs>
        <w:spacing w:lineRule="auto" w:line="240"/>
        <w:ind w:left="0" w:hanging="0"/>
        <w:jc w:val="both"/>
        <w:rPr>
          <w:rFonts w:ascii="Times New Roman" w:hAnsi="Times New Roman"/>
          <w:sz w:val="22"/>
          <w:szCs w:val="22"/>
        </w:rPr>
      </w:pPr>
      <w:r>
        <w:rPr>
          <w:sz w:val="22"/>
          <w:szCs w:val="22"/>
        </w:rPr>
        <w:t>Arcar com as despesas de publicação de extrato do CONTRATO DE FORNECIMENTO, bem como dos Termos Aditivos que venham a ser firmados.</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Acompanhar e fiscalizar a execução do contrato e o cumprimento das obrigações pelo Contratado;</w:t>
      </w:r>
    </w:p>
    <w:p>
      <w:pPr>
        <w:pStyle w:val="Nivel2"/>
        <w:numPr>
          <w:ilvl w:val="1"/>
          <w:numId w:val="14"/>
        </w:numPr>
        <w:tabs>
          <w:tab w:val="clear" w:pos="720"/>
          <w:tab w:val="left" w:pos="851" w:leader="none"/>
        </w:tabs>
        <w:spacing w:lineRule="auto" w:line="240" w:before="120" w:after="288"/>
        <w:ind w:left="0" w:hanging="0"/>
        <w:jc w:val="both"/>
        <w:rPr/>
      </w:pPr>
      <w:r>
        <w:rPr>
          <w:sz w:val="22"/>
          <w:szCs w:val="22"/>
        </w:rPr>
        <w:t xml:space="preserve">Comunicar a empresa para </w:t>
      </w:r>
      <w:r>
        <w:rPr>
          <w:bCs/>
          <w:sz w:val="22"/>
          <w:szCs w:val="22"/>
        </w:rPr>
        <w:t>emissão de Nota Fiscal no que pertine à parcela incontroversa da execução do objeto, para efeito de liquidação e pagamento, quando ho</w:t>
      </w:r>
      <w:r>
        <w:rPr>
          <w:bCs/>
          <w:color w:val="auto"/>
          <w:sz w:val="22"/>
          <w:szCs w:val="22"/>
        </w:rPr>
        <w:t xml:space="preserve">uver controvérsia sobre a execução do objeto, quanto à dimensão, qualidade e quantidade, conforme o </w:t>
      </w:r>
      <w:r>
        <w:fldChar w:fldCharType="begin"/>
      </w:r>
      <w:r>
        <w:rPr>
          <w:rStyle w:val="LinkdaInternet"/>
          <w:sz w:val="22"/>
          <w:szCs w:val="22"/>
          <w:bCs/>
          <w:color w:val="auto"/>
        </w:rPr>
        <w:instrText xml:space="preserve"> HYPERLINK "http://www.planalto.gov.br/ccivil_03/_ato2019-2022/2021/lei/L14133.htm" \l "art143"</w:instrText>
      </w:r>
      <w:r>
        <w:rPr>
          <w:rStyle w:val="LinkdaInternet"/>
          <w:sz w:val="22"/>
          <w:szCs w:val="22"/>
          <w:bCs/>
          <w:color w:val="auto"/>
        </w:rPr>
        <w:fldChar w:fldCharType="separate"/>
      </w:r>
      <w:r>
        <w:rPr>
          <w:rStyle w:val="LinkdaInternet"/>
          <w:bCs/>
          <w:color w:val="auto"/>
          <w:sz w:val="22"/>
          <w:szCs w:val="22"/>
        </w:rPr>
        <w:t>art. 143 da Lei nº 14.133, de 2021</w:t>
      </w:r>
      <w:r>
        <w:rPr>
          <w:rStyle w:val="LinkdaInternet"/>
          <w:sz w:val="22"/>
          <w:szCs w:val="22"/>
          <w:bCs/>
          <w:color w:val="auto"/>
        </w:rPr>
        <w:fldChar w:fldCharType="end"/>
      </w:r>
      <w:r>
        <w:rPr>
          <w:bCs/>
          <w:color w:val="auto"/>
          <w:sz w:val="22"/>
          <w:szCs w:val="22"/>
        </w:rPr>
        <w:t>;</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Efetuar o pagamento ao Contratado do valor correspondente ao forne</w:t>
      </w:r>
      <w:r>
        <w:rPr>
          <w:sz w:val="22"/>
          <w:szCs w:val="22"/>
        </w:rPr>
        <w:t>cimento do objeto, no prazo, forma e condições estabelecidos no presente Contrato;</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 xml:space="preserve">Aplicar ao Contratado as sanções previstas na lei e neste Contrato; </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14"/>
        </w:numPr>
        <w:tabs>
          <w:tab w:val="left" w:pos="567" w:leader="none"/>
          <w:tab w:val="left" w:pos="851" w:leader="none"/>
        </w:tabs>
        <w:spacing w:lineRule="auto" w:line="240" w:before="120" w:after="288"/>
        <w:ind w:left="0" w:hanging="709"/>
        <w:jc w:val="both"/>
        <w:rPr/>
      </w:pPr>
      <w:bookmarkStart w:id="53" w:name="_Toc124846885"/>
      <w:bookmarkStart w:id="54" w:name="_Toc155271667"/>
      <w:r>
        <w:rPr>
          <w:rFonts w:ascii="Times New Roman" w:hAnsi="Times New Roman"/>
          <w:color w:val="auto"/>
          <w:sz w:val="22"/>
          <w:szCs w:val="22"/>
        </w:rPr>
        <w:t>CLÁUSULA NONA – OBRIGAÇÕES DO CONTRATADO (</w:t>
      </w:r>
      <w:r>
        <w:fldChar w:fldCharType="begin"/>
      </w:r>
      <w:r>
        <w:rPr>
          <w:rStyle w:val="LinkdaInternet"/>
          <w:sz w:val="22"/>
          <w:szCs w:val="22"/>
          <w:rFonts w:ascii="Times New Roman" w:hAnsi="Times New Roman"/>
          <w:color w:val="auto"/>
        </w:rPr>
        <w:instrText xml:space="preserve"> HYPERLINK "http://www.planalto.gov.br/ccivil_03/_ato2019-2022/2021/lei/L14133.htm" \l "art92"</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XIV, XVI e XVII)</w:t>
      </w:r>
      <w:r>
        <w:rPr>
          <w:rStyle w:val="LinkdaInternet"/>
          <w:sz w:val="22"/>
          <w:szCs w:val="22"/>
          <w:rFonts w:ascii="Times New Roman" w:hAnsi="Times New Roman"/>
          <w:color w:val="auto"/>
        </w:rPr>
        <w:fldChar w:fldCharType="end"/>
      </w:r>
      <w:bookmarkEnd w:id="53"/>
      <w:bookmarkEnd w:id="54"/>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Responsabilizar-se pelos vícios e danos decorrentes do objeto, de acordo com o Código de Defesa do Consumidor (</w:t>
      </w:r>
      <w:hyperlink r:id="rId12">
        <w:r>
          <w:rPr>
            <w:rStyle w:val="LinkdaInternet"/>
            <w:color w:val="auto"/>
            <w:sz w:val="22"/>
            <w:szCs w:val="22"/>
          </w:rPr>
          <w:t>Lei nº 8.078, de 1990</w:t>
        </w:r>
      </w:hyperlink>
      <w:r>
        <w:rPr>
          <w:color w:val="auto"/>
          <w:sz w:val="22"/>
          <w:szCs w:val="22"/>
        </w:rPr>
        <w:t>);</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Comunicar ao contratante, no prazo máximo de 24 (vinte e quatro) horas que antecede a data da entrega, os motivos que impossibilitem o cumprimento do prazo previsto, com a devida comprovação;</w:t>
      </w:r>
    </w:p>
    <w:p>
      <w:pPr>
        <w:pStyle w:val="ListParagraph"/>
        <w:numPr>
          <w:ilvl w:val="1"/>
          <w:numId w:val="14"/>
        </w:numPr>
        <w:tabs>
          <w:tab w:val="clear" w:pos="720"/>
          <w:tab w:val="left" w:pos="851" w:leader="none"/>
        </w:tabs>
        <w:spacing w:lineRule="auto" w:line="240"/>
        <w:ind w:left="0" w:hanging="0"/>
        <w:jc w:val="both"/>
        <w:rPr>
          <w:rFonts w:ascii="Times New Roman" w:hAnsi="Times New Roman"/>
          <w:sz w:val="22"/>
          <w:szCs w:val="22"/>
        </w:rPr>
      </w:pPr>
      <w:r>
        <w:rPr>
          <w:sz w:val="22"/>
          <w:szCs w:val="22"/>
        </w:rPr>
        <w:t>Dirimir qualquer dúvida e prestar esclarecimentos acerca da execução do CONTRATO DE FORNECIMENTO, durante toda a sua vigência, a pedido da Câmara Municipal de Santana da Vargem, durante toda a sua vigência.</w:t>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1"/>
          <w:numId w:val="14"/>
        </w:numPr>
        <w:tabs>
          <w:tab w:val="clear" w:pos="720"/>
          <w:tab w:val="left" w:pos="851" w:leader="none"/>
        </w:tabs>
        <w:spacing w:lineRule="auto" w:line="240"/>
        <w:ind w:left="0" w:hanging="0"/>
        <w:jc w:val="both"/>
        <w:rPr>
          <w:rFonts w:ascii="Times New Roman" w:hAnsi="Times New Roman"/>
          <w:sz w:val="22"/>
          <w:szCs w:val="22"/>
        </w:rPr>
      </w:pPr>
      <w:r>
        <w:rPr>
          <w:sz w:val="22"/>
          <w:szCs w:val="22"/>
        </w:rPr>
        <w:t>Colocar à disposição da CONTRATANTE todos os meios necessários para comprovação da qualidade do (s) objeto (s), permitindo a verificação de sua conformidade com as especificações e exigências do Edital.</w:t>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1"/>
          <w:numId w:val="14"/>
        </w:numPr>
        <w:tabs>
          <w:tab w:val="clear" w:pos="720"/>
          <w:tab w:val="left" w:pos="851" w:leader="none"/>
        </w:tabs>
        <w:spacing w:lineRule="auto" w:line="240"/>
        <w:ind w:left="0" w:hanging="0"/>
        <w:jc w:val="both"/>
        <w:rPr>
          <w:rFonts w:ascii="Times New Roman" w:hAnsi="Times New Roman"/>
          <w:sz w:val="22"/>
          <w:szCs w:val="22"/>
        </w:rPr>
      </w:pPr>
      <w:r>
        <w:rPr>
          <w:sz w:val="22"/>
          <w:szCs w:val="22"/>
        </w:rPr>
        <w:t xml:space="preserve"> </w:t>
      </w:r>
      <w:r>
        <w:rPr>
          <w:color w:val="3465A4"/>
          <w:sz w:val="22"/>
          <w:szCs w:val="22"/>
        </w:rPr>
        <w:t>Arcar com todas as despesas decorrentes da execução do CONTRATO DE FORNECIMENTO, tais como salários, encargos trabalhistas, sociais e previdenciários, seguros, taxas, impostos e contribuições, indenizações, transporte, alimentação, e outras que porventura venham a ser criadas ou exigidas por lei. (ajustar conforme peculiaridade do objeto)</w:t>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1"/>
          <w:numId w:val="14"/>
        </w:numPr>
        <w:tabs>
          <w:tab w:val="clear" w:pos="720"/>
          <w:tab w:val="left" w:pos="851" w:leader="none"/>
        </w:tabs>
        <w:spacing w:lineRule="auto" w:line="240"/>
        <w:ind w:left="0" w:hanging="0"/>
        <w:jc w:val="both"/>
        <w:rPr>
          <w:rFonts w:ascii="Times New Roman" w:hAnsi="Times New Roman"/>
          <w:sz w:val="22"/>
          <w:szCs w:val="22"/>
        </w:rPr>
      </w:pPr>
      <w:r>
        <w:rPr>
          <w:sz w:val="22"/>
          <w:szCs w:val="22"/>
        </w:rPr>
        <w:t>Responsabilizar-se por todos os ônus e tributos, emolumentos, honorários ou despesas incidentais sobre o objeto contratado.</w:t>
      </w:r>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Atender às determinações regulares emitidas pelo fiscal ou gestor do contrato ou autoridade superior (</w:t>
      </w:r>
      <w:r>
        <w:fldChar w:fldCharType="begin"/>
      </w:r>
      <w:r>
        <w:rPr>
          <w:rStyle w:val="LinkdaInternet"/>
          <w:sz w:val="22"/>
          <w:szCs w:val="22"/>
          <w:color w:val="auto"/>
        </w:rPr>
        <w:instrText xml:space="preserve"> HYPERLINK "http://www.planalto.gov.br/ccivil_03/_ato2019-2022/2021/lei/L14133.htm" \l "art137"</w:instrText>
      </w:r>
      <w:r>
        <w:rPr>
          <w:rStyle w:val="LinkdaInternet"/>
          <w:sz w:val="22"/>
          <w:szCs w:val="22"/>
          <w:color w:val="auto"/>
        </w:rPr>
        <w:fldChar w:fldCharType="separate"/>
      </w:r>
      <w:r>
        <w:rPr>
          <w:rStyle w:val="LinkdaInternet"/>
          <w:color w:val="auto"/>
          <w:sz w:val="22"/>
          <w:szCs w:val="22"/>
        </w:rPr>
        <w:t>art. 137, II, da Lei n.º 14.133, de 2021</w:t>
      </w:r>
      <w:r>
        <w:rPr>
          <w:rStyle w:val="LinkdaInternet"/>
          <w:sz w:val="22"/>
          <w:szCs w:val="22"/>
          <w:color w:val="auto"/>
        </w:rPr>
        <w:fldChar w:fldCharType="end"/>
      </w:r>
      <w:r>
        <w:rPr>
          <w:color w:val="auto"/>
          <w:sz w:val="22"/>
          <w:szCs w:val="22"/>
        </w:rPr>
        <w:t>) e prestar todo esclarecimento ou informação por eles solicitados;</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Reparar, corrigir, remover, reconstruir ou substituir, às suas expensas, no total ou em parte, no prazo fixado pelo fiscal do contrato, os bens/serviços nos quais se verificarem vícios, defeitos ou incorreções resultantes da execução ou dos materiais empregados;</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e Municipal do domicílio ou sede do contratado; 4) Certidão de Regularidade do FGTS – CRF; e 5) Certidão Negativa de Débitos Trabalhistas – CNDT; </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Comunicar ao Fiscal do contrato, no prazo de </w:t>
      </w:r>
      <w:r>
        <w:rPr>
          <w:b/>
          <w:color w:val="auto"/>
          <w:sz w:val="22"/>
          <w:szCs w:val="22"/>
        </w:rPr>
        <w:t>24 (vinte e quatro) horas</w:t>
      </w:r>
      <w:r>
        <w:rPr>
          <w:color w:val="auto"/>
          <w:sz w:val="22"/>
          <w:szCs w:val="22"/>
        </w:rPr>
        <w:t>, qualquer ocorrência anormal ou acidente que se verifique no local da execução do objeto contratual.</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Paralisar, por determinação do contratante, qualquer atividade que não esteja sendo executada de acordo com a boa técnica ou que ponha em risco a segurança de pessoas ou bens de terceiros.</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Manter durante toda a vigência do contrato, em compatibilidade com as obrigações assumidas, todas as condições exigidas para habilitação na licitação; </w:t>
      </w:r>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auto"/>
        </w:rPr>
        <w:instrText xml:space="preserve"> HYPERLINK "http://www.planalto.gov.br/ccivil_03/_ato2019-2022/2021/lei/L14133.htm" \l "art116"</w:instrText>
      </w:r>
      <w:r>
        <w:rPr>
          <w:rStyle w:val="LinkdaInternet"/>
          <w:sz w:val="22"/>
          <w:szCs w:val="22"/>
          <w:color w:val="auto"/>
        </w:rPr>
        <w:fldChar w:fldCharType="separate"/>
      </w:r>
      <w:r>
        <w:rPr>
          <w:rStyle w:val="LinkdaInternet"/>
          <w:color w:val="auto"/>
          <w:sz w:val="22"/>
          <w:szCs w:val="22"/>
        </w:rPr>
        <w:t>art. 116, da Lei n.º 14.133, de 2021</w:t>
      </w:r>
      <w:r>
        <w:rPr>
          <w:rStyle w:val="LinkdaInternet"/>
          <w:sz w:val="22"/>
          <w:szCs w:val="22"/>
          <w:color w:val="auto"/>
        </w:rPr>
        <w:fldChar w:fldCharType="end"/>
      </w:r>
      <w:r>
        <w:rPr>
          <w:color w:val="auto"/>
          <w:sz w:val="22"/>
          <w:szCs w:val="22"/>
        </w:rPr>
        <w:t>);</w:t>
      </w:r>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auto"/>
        </w:rPr>
        <w:instrText xml:space="preserve"> HYPERLINK "http://www.planalto.gov.br/ccivil_03/_ato2019-2022/2021/lei/L14133.htm" \l "art116"</w:instrText>
      </w:r>
      <w:r>
        <w:rPr>
          <w:rStyle w:val="LinkdaInternet"/>
          <w:sz w:val="22"/>
          <w:szCs w:val="22"/>
          <w:color w:val="auto"/>
        </w:rPr>
        <w:fldChar w:fldCharType="separate"/>
      </w:r>
      <w:r>
        <w:rPr>
          <w:rStyle w:val="LinkdaInternet"/>
          <w:color w:val="auto"/>
          <w:sz w:val="22"/>
          <w:szCs w:val="22"/>
        </w:rPr>
        <w:t>art. 116, parágrafo único, da Lei n.º 14.133, de 2021</w:t>
      </w:r>
      <w:r>
        <w:rPr>
          <w:rStyle w:val="LinkdaInternet"/>
          <w:sz w:val="22"/>
          <w:szCs w:val="22"/>
          <w:color w:val="auto"/>
        </w:rPr>
        <w:fldChar w:fldCharType="end"/>
      </w:r>
      <w:r>
        <w:rPr>
          <w:color w:val="auto"/>
          <w:sz w:val="22"/>
          <w:szCs w:val="22"/>
        </w:rPr>
        <w:t>);</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 xml:space="preserve">Guardar sigilo sobre todas as informações obtidas em decorrência do cumprimento do contrato; </w:t>
      </w:r>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auto"/>
        </w:rPr>
        <w:instrText xml:space="preserve"> HYPERLINK "http://www.planalto.gov.br/ccivil_03/_ato2019-2022/2021/lei/L14133.htm" \l "art124"</w:instrText>
      </w:r>
      <w:r>
        <w:rPr>
          <w:rStyle w:val="LinkdaInternet"/>
          <w:sz w:val="22"/>
          <w:szCs w:val="22"/>
          <w:color w:val="auto"/>
        </w:rPr>
        <w:fldChar w:fldCharType="separate"/>
      </w:r>
      <w:r>
        <w:rPr>
          <w:rStyle w:val="LinkdaInternet"/>
          <w:color w:val="auto"/>
          <w:sz w:val="22"/>
          <w:szCs w:val="22"/>
        </w:rPr>
        <w:t>art. 124, II, d, da Lei nº 14.133, de 2021.</w:t>
      </w:r>
      <w:r>
        <w:rPr>
          <w:rStyle w:val="LinkdaInternet"/>
          <w:sz w:val="22"/>
          <w:szCs w:val="22"/>
          <w:color w:val="auto"/>
        </w:rPr>
        <w:fldChar w:fldCharType="end"/>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Cumprir, além dos postulados legais vigentes de âmbito federal, estadual ou municipal, as normas de segurança do contratante;</w:t>
      </w:r>
    </w:p>
    <w:p>
      <w:pPr>
        <w:pStyle w:val="ListParagraph"/>
        <w:numPr>
          <w:ilvl w:val="1"/>
          <w:numId w:val="14"/>
        </w:numPr>
        <w:tabs>
          <w:tab w:val="clear" w:pos="720"/>
          <w:tab w:val="left" w:pos="851" w:leader="none"/>
        </w:tabs>
        <w:spacing w:lineRule="auto" w:line="240"/>
        <w:ind w:left="0" w:hanging="0"/>
        <w:jc w:val="both"/>
        <w:rPr>
          <w:rFonts w:ascii="Times New Roman" w:hAnsi="Times New Roman"/>
          <w:sz w:val="22"/>
          <w:szCs w:val="22"/>
        </w:rPr>
      </w:pPr>
      <w:r>
        <w:rPr>
          <w:sz w:val="22"/>
          <w:szCs w:val="22"/>
        </w:rPr>
        <w:t>Responsabilizar-se pelos ônus resultantes de quaisquer ações, demandas, custos e despesas decorrentes de danos, ocorridos por culpa sua ou de qualquer de seus empregados e prepostos, obrigando-se por quaisquer responsabilidades decorrentes de ações judiciais movidas por terceiros, que lhe venham a ser exigidas por força de lei, ligadas ao cumprimento deste instrumento legal.</w:t>
      </w:r>
    </w:p>
    <w:p>
      <w:pPr>
        <w:pStyle w:val="ListParagraph"/>
        <w:tabs>
          <w:tab w:val="clear" w:pos="720"/>
          <w:tab w:val="left" w:pos="0" w:leader="none"/>
          <w:tab w:val="left" w:pos="851" w:leader="none"/>
        </w:tabs>
        <w:spacing w:lineRule="auto" w:line="240"/>
        <w:ind w:left="0" w:hanging="0"/>
        <w:jc w:val="both"/>
        <w:rPr>
          <w:rFonts w:ascii="Times New Roman" w:hAnsi="Times New Roman"/>
          <w:sz w:val="22"/>
          <w:szCs w:val="22"/>
        </w:rPr>
      </w:pPr>
      <w:r>
        <w:rPr>
          <w:sz w:val="22"/>
          <w:szCs w:val="22"/>
        </w:rPr>
      </w:r>
    </w:p>
    <w:p>
      <w:pPr>
        <w:pStyle w:val="ListParagraph"/>
        <w:numPr>
          <w:ilvl w:val="1"/>
          <w:numId w:val="14"/>
        </w:numPr>
        <w:tabs>
          <w:tab w:val="clear" w:pos="720"/>
          <w:tab w:val="left" w:pos="851" w:leader="none"/>
        </w:tabs>
        <w:spacing w:lineRule="auto" w:line="240"/>
        <w:ind w:left="0" w:hanging="0"/>
        <w:jc w:val="both"/>
        <w:rPr>
          <w:rFonts w:ascii="Times New Roman" w:hAnsi="Times New Roman"/>
          <w:sz w:val="22"/>
          <w:szCs w:val="22"/>
        </w:rPr>
      </w:pPr>
      <w:r>
        <w:rPr>
          <w:sz w:val="22"/>
          <w:szCs w:val="22"/>
        </w:rPr>
        <w:t>Instruir seus empregados a manterem sigilo a respeito das informações e quaisquer outros assuntos ligados a documentos e seus conteúdos, que porventura cheguem ao seu conhecimento por força da execução do CONTRATO .</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Responsabilizar-se pelos danos causados a funcionários da Câmara Municipal ou a terceiros, decorrente do fornecimento impróprio</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bookmarkStart w:id="55" w:name="_Ref118293030"/>
      <w:r>
        <w:rPr>
          <w:i w:val="false"/>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5"/>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auto"/>
          <w:sz w:val="22"/>
          <w:szCs w:val="22"/>
        </w:rPr>
        <w:t>Conduzir os trabalhos com estrita observância às normas da legislação pertinente, cumprindo as determinações dos Poderes Públicos, mantendo sempre limpo o local d</w:t>
      </w:r>
      <w:r>
        <w:rPr>
          <w:i w:val="false"/>
          <w:color w:val="auto"/>
          <w:sz w:val="22"/>
          <w:szCs w:val="22"/>
          <w:lang w:eastAsia="en-US"/>
        </w:rPr>
        <w:t>e execução do objeto</w:t>
      </w:r>
      <w:r>
        <w:rPr>
          <w:i w:val="false"/>
          <w:color w:val="auto"/>
          <w:sz w:val="22"/>
          <w:szCs w:val="22"/>
        </w:rPr>
        <w:t xml:space="preserve"> e nas melhores condições de segurança, higiene e disciplina.</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rPr>
        <w:t>Entregar o objeto acompanhado do manual do usuário, com uma versão em português, e da relação da rede de assistência técnica autorizada quando aplicável. Nota: quando for aplicável.</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bookmarkStart w:id="56" w:name="_Ref118293001"/>
      <w:r>
        <w:rPr>
          <w:i w:val="false"/>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6"/>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auto"/>
          <w:sz w:val="22"/>
          <w:szCs w:val="22"/>
        </w:rPr>
        <w:t>Submeter previamente, por escrito, ao contratante, para análise e aprovação, quaisquer mudanças nos métodos executivos que fujam às especificações do memorial descritivo ou instrumento congênere.</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rPr>
        <w:t>Nota: Acrescentar obrigações específicas do objeto.</w:t>
      </w:r>
    </w:p>
    <w:p>
      <w:pPr>
        <w:pStyle w:val="Nivel01"/>
        <w:numPr>
          <w:ilvl w:val="0"/>
          <w:numId w:val="14"/>
        </w:numPr>
        <w:tabs>
          <w:tab w:val="clear" w:pos="567"/>
          <w:tab w:val="left" w:pos="0" w:leader="none"/>
        </w:tabs>
        <w:spacing w:lineRule="auto" w:line="240" w:before="120" w:after="288"/>
        <w:ind w:left="0" w:hanging="284"/>
        <w:jc w:val="both"/>
        <w:rPr/>
      </w:pPr>
      <w:bookmarkStart w:id="57" w:name="_Toc124846886"/>
      <w:bookmarkStart w:id="58" w:name="_Toc155271668"/>
      <w:r>
        <w:rPr>
          <w:rFonts w:ascii="Times New Roman" w:hAnsi="Times New Roman"/>
          <w:color w:val="0000FF"/>
          <w:sz w:val="22"/>
          <w:szCs w:val="22"/>
        </w:rPr>
        <w:t xml:space="preserve">CLÁUSULA DÉCIMA– GARANTIA DE EXECUÇÃO </w:t>
      </w:r>
      <w:r>
        <w:rPr>
          <w:rFonts w:ascii="Times New Roman" w:hAnsi="Times New Roman"/>
          <w:sz w:val="22"/>
          <w:szCs w:val="22"/>
        </w:rPr>
        <w:t>(</w:t>
      </w:r>
      <w:r>
        <w:fldChar w:fldCharType="begin"/>
      </w:r>
      <w:r>
        <w:rPr>
          <w:rStyle w:val="LinkdaInternet"/>
          <w:sz w:val="22"/>
          <w:szCs w:val="22"/>
          <w:rFonts w:ascii="Times New Roman" w:hAnsi="Times New Roman"/>
          <w:color w:val="auto"/>
        </w:rPr>
        <w:instrText xml:space="preserve"> HYPERLINK "http://www.planalto.gov.br/ccivil_03/_ato2019-2022/2021/lei/L14133.htm" \l "art92"</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XII e XIII</w:t>
      </w:r>
      <w:r>
        <w:rPr>
          <w:rStyle w:val="LinkdaInternet"/>
          <w:sz w:val="22"/>
          <w:szCs w:val="22"/>
          <w:rFonts w:ascii="Times New Roman" w:hAnsi="Times New Roman"/>
          <w:color w:val="auto"/>
        </w:rPr>
        <w:fldChar w:fldCharType="end"/>
      </w:r>
      <w:r>
        <w:rPr>
          <w:rFonts w:ascii="Times New Roman" w:hAnsi="Times New Roman"/>
          <w:sz w:val="22"/>
          <w:szCs w:val="22"/>
        </w:rPr>
        <w:t>)</w:t>
      </w:r>
      <w:bookmarkEnd w:id="57"/>
      <w:bookmarkEnd w:id="58"/>
    </w:p>
    <w:p>
      <w:pPr>
        <w:pStyle w:val="Nvel2Red"/>
        <w:numPr>
          <w:ilvl w:val="1"/>
          <w:numId w:val="14"/>
        </w:numPr>
        <w:tabs>
          <w:tab w:val="clear" w:pos="720"/>
          <w:tab w:val="left" w:pos="851" w:leader="none"/>
        </w:tabs>
        <w:spacing w:lineRule="auto" w:line="240" w:before="120" w:after="288"/>
        <w:jc w:val="both"/>
        <w:rPr>
          <w:rFonts w:ascii="Times New Roman" w:hAnsi="Times New Roman"/>
          <w:sz w:val="22"/>
          <w:szCs w:val="22"/>
        </w:rPr>
      </w:pPr>
      <w:r>
        <w:rPr>
          <w:i w:val="false"/>
          <w:color w:val="auto"/>
          <w:sz w:val="22"/>
          <w:szCs w:val="22"/>
        </w:rPr>
        <w:t xml:space="preserve">  </w:t>
      </w:r>
      <w:r>
        <w:rPr>
          <w:i w:val="false"/>
          <w:color w:val="auto"/>
          <w:sz w:val="22"/>
          <w:szCs w:val="22"/>
        </w:rPr>
        <w:t>Não haverá exigência de garantia contratual da execução.</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auto"/>
          <w:sz w:val="22"/>
          <w:szCs w:val="22"/>
        </w:rPr>
        <w:t>OU</w:t>
      </w:r>
    </w:p>
    <w:p>
      <w:pPr>
        <w:pStyle w:val="Nvel2Red"/>
        <w:numPr>
          <w:ilvl w:val="0"/>
          <w:numId w:val="0"/>
        </w:numPr>
        <w:tabs>
          <w:tab w:val="clear" w:pos="720"/>
          <w:tab w:val="left" w:pos="851" w:leader="none"/>
        </w:tabs>
        <w:spacing w:lineRule="auto" w:line="240" w:before="120" w:after="288"/>
        <w:ind w:left="0" w:hanging="0"/>
        <w:jc w:val="both"/>
        <w:rPr/>
      </w:pPr>
      <w:r>
        <w:rPr>
          <w:i w:val="false"/>
          <w:color w:val="3465A4"/>
          <w:sz w:val="22"/>
          <w:szCs w:val="22"/>
          <w:shd w:fill="auto" w:val="clear"/>
        </w:rPr>
        <w:t xml:space="preserve">10.1 A contratação conta com garantia de execução, nos moldes do </w:t>
      </w:r>
      <w:r>
        <w:fldChar w:fldCharType="begin"/>
      </w:r>
      <w:r>
        <w:rPr>
          <w:rStyle w:val="LinkdaInternet"/>
          <w:sz w:val="22"/>
          <w:i w:val="false"/>
          <w:shd w:fill="auto" w:val="clear"/>
          <w:szCs w:val="22"/>
          <w:color w:val="3465A4"/>
        </w:rPr>
        <w:instrText xml:space="preserve"> HYPERLINK "http://www.planalto.gov.br/ccivil_03/_ato2019-2022/2021/lei/L14133.htm" \l "art96"</w:instrText>
      </w:r>
      <w:r>
        <w:rPr>
          <w:rStyle w:val="LinkdaInternet"/>
          <w:sz w:val="22"/>
          <w:i w:val="false"/>
          <w:shd w:fill="auto" w:val="clear"/>
          <w:szCs w:val="22"/>
          <w:color w:val="3465A4"/>
        </w:rPr>
        <w:fldChar w:fldCharType="separate"/>
      </w:r>
      <w:r>
        <w:rPr>
          <w:rStyle w:val="LinkdaInternet"/>
          <w:i w:val="false"/>
          <w:color w:val="3465A4"/>
          <w:sz w:val="22"/>
          <w:szCs w:val="22"/>
          <w:shd w:fill="auto" w:val="clear"/>
        </w:rPr>
        <w:t>art. 96 da Lei nº 14.133</w:t>
      </w:r>
      <w:r>
        <w:rPr>
          <w:rStyle w:val="LinkdaInternet"/>
          <w:sz w:val="22"/>
          <w:i w:val="false"/>
          <w:shd w:fill="auto" w:val="clear"/>
          <w:szCs w:val="22"/>
          <w:color w:val="3465A4"/>
        </w:rPr>
        <w:fldChar w:fldCharType="end"/>
      </w:r>
      <w:r>
        <w:rPr>
          <w:i w:val="false"/>
          <w:color w:val="3465A4"/>
          <w:sz w:val="22"/>
          <w:szCs w:val="22"/>
          <w:shd w:fill="auto" w:val="clear"/>
        </w:rPr>
        <w:t>, de 2021, em valor correspondente a X% (XXXX por cento) do valor inicial/total/anual do contrato.</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Caso utili</w:t>
      </w:r>
      <w:r>
        <w:rPr>
          <w:i w:val="false"/>
          <w:color w:val="3465A4"/>
          <w:sz w:val="22"/>
          <w:szCs w:val="22"/>
          <w:shd w:fill="auto" w:val="clear"/>
          <w:lang w:eastAsia="en-US"/>
        </w:rPr>
        <w:t xml:space="preserve">zada a modalidade </w:t>
      </w:r>
      <w:r>
        <w:rPr>
          <w:i w:val="false"/>
          <w:color w:val="3465A4"/>
          <w:sz w:val="22"/>
          <w:szCs w:val="22"/>
          <w:shd w:fill="auto" w:val="clear"/>
        </w:rPr>
        <w:t>de seguro-garantia, a apólice deverá ter validade durante a vigência do contrato E/OU por XXXXXX dias após o término da vigência contratual, permanecendo em vigor mesmo que o contratado não pague o prêmio nas datas convencionadas.</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A apólice do seguro garantia deverá acompanhar as modificações referentes à vigência do contrato principal mediante a emissão do respectivo endosso pela seguradora.</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Será permitida a substituição da apólice de seguro-garantia na data de renovação ou de aniversário, desde que mantidas as condições e coberturas da apólice vigente e nenhum período fique descoberto.</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Caso utilizada outra modalidade de garantia, somente será liberada ou restituída após a fiel execução do contrato ou após a sua extinção por culpa exclusiva da Administração e, quando em dinheiro, será atualizada monetariamente.</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bookmarkStart w:id="59" w:name="_Ref118297051"/>
      <w:r>
        <w:rPr>
          <w:i w:val="false"/>
          <w:color w:val="3465A4"/>
          <w:sz w:val="22"/>
          <w:szCs w:val="22"/>
          <w:shd w:fill="auto" w:val="clear"/>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59"/>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bookmarkStart w:id="60" w:name="_Ref118297166"/>
      <w:r>
        <w:rPr>
          <w:i w:val="false"/>
          <w:color w:val="3465A4"/>
          <w:sz w:val="22"/>
          <w:szCs w:val="22"/>
          <w:shd w:fill="auto" w:val="clear"/>
        </w:rPr>
        <w:t>A garantia assegurará, qualquer que seja a modalidade escolhida, o pagamento de:</w:t>
      </w:r>
      <w:bookmarkEnd w:id="60"/>
      <w:r>
        <w:rPr>
          <w:i w:val="false"/>
          <w:color w:val="3465A4"/>
          <w:sz w:val="22"/>
          <w:szCs w:val="22"/>
          <w:shd w:fill="auto" w:val="clear"/>
        </w:rPr>
        <w:t xml:space="preserve"> </w:t>
      </w:r>
    </w:p>
    <w:p>
      <w:pPr>
        <w:pStyle w:val="Nvel3R"/>
        <w:numPr>
          <w:ilvl w:val="2"/>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prejuízos advindos do não cumprimento do objeto do contrato e do não adimplemento das demais obrigações nele previstas; </w:t>
      </w:r>
    </w:p>
    <w:p>
      <w:pPr>
        <w:pStyle w:val="Nvel3R"/>
        <w:numPr>
          <w:ilvl w:val="2"/>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multas moratórias e punitivas aplicadas pela Administração à contratada; e  </w:t>
      </w:r>
    </w:p>
    <w:p>
      <w:pPr>
        <w:pStyle w:val="Nvel3R"/>
        <w:numPr>
          <w:ilvl w:val="2"/>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obrigações trabalhistas e previdenciárias de qualquer natureza e para com o FGTS, não adimplidas pelo contratado, quando couber.</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A modalidade seguro-garantia somente será aceita se contemplar todos os eventos indicados no item </w:t>
      </w:r>
      <w:r>
        <w:rPr>
          <w:i w:val="false"/>
          <w:color w:val="3465A4"/>
          <w:sz w:val="22"/>
          <w:szCs w:val="22"/>
          <w:shd w:fill="auto" w:val="clear"/>
        </w:rPr>
        <w:fldChar w:fldCharType="begin"/>
      </w:r>
      <w:r>
        <w:rPr>
          <w:sz w:val="22"/>
          <w:i w:val="false"/>
          <w:shd w:fill="auto" w:val="clear"/>
          <w:szCs w:val="22"/>
          <w:color w:val="3465A4"/>
        </w:rPr>
        <w:instrText xml:space="preserve"> REF _Ref118297166 \r \h </w:instrText>
      </w:r>
      <w:r>
        <w:rPr>
          <w:sz w:val="22"/>
          <w:i w:val="false"/>
          <w:shd w:fill="auto" w:val="clear"/>
          <w:szCs w:val="22"/>
          <w:color w:val="3465A4"/>
        </w:rPr>
        <w:fldChar w:fldCharType="separate"/>
      </w:r>
      <w:r>
        <w:rPr>
          <w:sz w:val="22"/>
          <w:i w:val="false"/>
          <w:shd w:fill="auto" w:val="clear"/>
          <w:szCs w:val="22"/>
          <w:color w:val="3465A4"/>
        </w:rPr>
        <w:t>10.7</w:t>
      </w:r>
      <w:r>
        <w:rPr>
          <w:sz w:val="22"/>
          <w:i w:val="false"/>
          <w:shd w:fill="auto" w:val="clear"/>
          <w:szCs w:val="22"/>
          <w:color w:val="3465A4"/>
        </w:rPr>
        <w:fldChar w:fldCharType="end"/>
      </w:r>
      <w:r>
        <w:rPr>
          <w:i w:val="false"/>
          <w:color w:val="3465A4"/>
          <w:sz w:val="22"/>
          <w:szCs w:val="22"/>
          <w:shd w:fill="auto" w:val="clear"/>
        </w:rPr>
        <w:t xml:space="preserve">, observada a legislação que rege a matéria. </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A garantia em dinheiro deverá ser efetuada em favor do contratante, em conta específica na Caixa Econômica Federal, com correção monetária.</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Nvel2Red"/>
        <w:numPr>
          <w:ilvl w:val="0"/>
          <w:numId w:val="0"/>
        </w:numPr>
        <w:tabs>
          <w:tab w:val="clear" w:pos="720"/>
          <w:tab w:val="left" w:pos="851" w:leader="none"/>
        </w:tabs>
        <w:spacing w:lineRule="auto" w:line="240" w:before="120" w:after="288"/>
        <w:ind w:left="0" w:hanging="0"/>
        <w:jc w:val="both"/>
        <w:rPr/>
      </w:pPr>
      <w:r>
        <w:rPr>
          <w:i w:val="false"/>
          <w:color w:val="3465A4"/>
          <w:sz w:val="22"/>
          <w:szCs w:val="22"/>
          <w:shd w:fill="auto" w:val="clear"/>
        </w:rPr>
        <w:t>10.11 No caso de garantia na modalidade de fiança bancária, deverá ser emitida por banco ou</w:t>
      </w:r>
      <w:r>
        <w:rPr>
          <w:i w:val="false"/>
          <w:color w:val="auto"/>
          <w:sz w:val="22"/>
          <w:szCs w:val="22"/>
          <w:highlight w:val="yellow"/>
        </w:rPr>
        <w:t xml:space="preserve"> </w:t>
      </w:r>
      <w:r>
        <w:rPr>
          <w:i w:val="false"/>
          <w:color w:val="3465A4"/>
          <w:sz w:val="22"/>
          <w:szCs w:val="22"/>
          <w:shd w:fill="auto" w:val="clear"/>
        </w:rPr>
        <w:t xml:space="preserve">instituição financeira devidamente autorizada a operar no País pelo Banco Central do Brasil, e deverá constar expressa renúncia do fiador aos benefícios do </w:t>
      </w:r>
      <w:r>
        <w:fldChar w:fldCharType="begin"/>
      </w:r>
      <w:r>
        <w:rPr>
          <w:rStyle w:val="LinkdaInternet"/>
          <w:sz w:val="22"/>
          <w:i w:val="false"/>
          <w:shd w:fill="auto" w:val="clear"/>
          <w:szCs w:val="22"/>
          <w:color w:val="3465A4"/>
        </w:rPr>
        <w:instrText xml:space="preserve"> HYPERLINK "https://www.planalto.gov.br/ccivil_03/leis/2002/l10406compilada.htm" \l "art.827"</w:instrText>
      </w:r>
      <w:r>
        <w:rPr>
          <w:rStyle w:val="LinkdaInternet"/>
          <w:sz w:val="22"/>
          <w:i w:val="false"/>
          <w:shd w:fill="auto" w:val="clear"/>
          <w:szCs w:val="22"/>
          <w:color w:val="3465A4"/>
        </w:rPr>
        <w:fldChar w:fldCharType="separate"/>
      </w:r>
      <w:r>
        <w:rPr>
          <w:rStyle w:val="LinkdaInternet"/>
          <w:i w:val="false"/>
          <w:color w:val="3465A4"/>
          <w:sz w:val="22"/>
          <w:szCs w:val="22"/>
          <w:shd w:fill="auto" w:val="clear"/>
        </w:rPr>
        <w:t>artigo 827 do Código Civil</w:t>
      </w:r>
      <w:r>
        <w:rPr>
          <w:rStyle w:val="LinkdaInternet"/>
          <w:sz w:val="22"/>
          <w:i w:val="false"/>
          <w:shd w:fill="auto" w:val="clear"/>
          <w:szCs w:val="22"/>
          <w:color w:val="3465A4"/>
        </w:rPr>
        <w:fldChar w:fldCharType="end"/>
      </w:r>
      <w:r>
        <w:rPr>
          <w:i w:val="false"/>
          <w:color w:val="3465A4"/>
          <w:sz w:val="22"/>
          <w:szCs w:val="22"/>
          <w:shd w:fill="auto" w:val="clear"/>
        </w:rPr>
        <w:t>.</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No caso de alteração do valor do contrato, ou prorrogação de sua vigência, a garantia deverá ser ajustada ou renovada, seguindo os mesmos parâmetros utilizados quando da contratação. </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Se o valor da garantia for utilizado total ou parcialmente em pagamento de qualquer obrigação, o Contratado obriga-se a fazer a respectiva reposição no prazo máximo de .......... (......) dias úteis, contados da data em que for notificada.</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 Contratante executará a garantia na forma prevista na legislação que rege a matéria.</w:t>
      </w:r>
    </w:p>
    <w:p>
      <w:pPr>
        <w:pStyle w:val="Nvel3R"/>
        <w:numPr>
          <w:ilvl w:val="2"/>
          <w:numId w:val="14"/>
        </w:numPr>
        <w:tabs>
          <w:tab w:val="clear" w:pos="720"/>
          <w:tab w:val="left" w:pos="851" w:leader="none"/>
        </w:tabs>
        <w:spacing w:lineRule="auto" w:line="240" w:before="120" w:after="288"/>
        <w:ind w:left="0" w:hanging="0"/>
        <w:jc w:val="both"/>
        <w:rPr/>
      </w:pPr>
      <w:r>
        <w:rPr>
          <w:i w:val="false"/>
          <w:color w:val="3465A4"/>
          <w:sz w:val="22"/>
          <w:szCs w:val="22"/>
          <w:shd w:fill="auto" w:val="clear"/>
        </w:rPr>
        <w:t>O emitente da garantia ofertada pelo contratado deverá ser notificado pelo contratante quanto ao início de processo administrativo para apuração de descumprimento de cláusulas contratuais (</w:t>
      </w:r>
      <w:r>
        <w:fldChar w:fldCharType="begin"/>
      </w:r>
      <w:r>
        <w:rPr>
          <w:rStyle w:val="LinkdaInternet"/>
          <w:sz w:val="22"/>
          <w:i w:val="false"/>
          <w:shd w:fill="auto" w:val="clear"/>
          <w:szCs w:val="22"/>
          <w:color w:val="3465A4"/>
        </w:rPr>
        <w:instrText xml:space="preserve"> HYPERLINK "http://www.planalto.gov.br/ccivil_03/_ato2019-2022/2021/lei/L14133.htm" \l "art137§4"</w:instrText>
      </w:r>
      <w:r>
        <w:rPr>
          <w:rStyle w:val="LinkdaInternet"/>
          <w:sz w:val="22"/>
          <w:i w:val="false"/>
          <w:shd w:fill="auto" w:val="clear"/>
          <w:szCs w:val="22"/>
          <w:color w:val="3465A4"/>
        </w:rPr>
        <w:fldChar w:fldCharType="separate"/>
      </w:r>
      <w:r>
        <w:rPr>
          <w:rStyle w:val="LinkdaInternet"/>
          <w:i w:val="false"/>
          <w:color w:val="3465A4"/>
          <w:sz w:val="22"/>
          <w:szCs w:val="22"/>
          <w:shd w:fill="auto" w:val="clear"/>
        </w:rPr>
        <w:t>art. 137, § 4º, da Lei n.º 14.133, de 2021</w:t>
      </w:r>
      <w:r>
        <w:rPr>
          <w:rStyle w:val="LinkdaInternet"/>
          <w:sz w:val="22"/>
          <w:i w:val="false"/>
          <w:shd w:fill="auto" w:val="clear"/>
          <w:szCs w:val="22"/>
          <w:color w:val="3465A4"/>
        </w:rPr>
        <w:fldChar w:fldCharType="end"/>
      </w:r>
      <w:r>
        <w:rPr>
          <w:i w:val="false"/>
          <w:color w:val="3465A4"/>
          <w:sz w:val="22"/>
          <w:szCs w:val="22"/>
          <w:shd w:fill="auto" w:val="clear"/>
        </w:rPr>
        <w:t>).</w:t>
      </w:r>
    </w:p>
    <w:p>
      <w:pPr>
        <w:pStyle w:val="Nvel3R"/>
        <w:numPr>
          <w:ilvl w:val="2"/>
          <w:numId w:val="14"/>
        </w:numPr>
        <w:tabs>
          <w:tab w:val="clear" w:pos="720"/>
          <w:tab w:val="left" w:pos="851" w:leader="none"/>
        </w:tabs>
        <w:spacing w:lineRule="auto" w:line="240" w:before="120" w:after="288"/>
        <w:ind w:left="0" w:hanging="0"/>
        <w:jc w:val="both"/>
        <w:rPr/>
      </w:pPr>
      <w:r>
        <w:rPr>
          <w:i w:val="false"/>
          <w:color w:val="3465A4"/>
          <w:sz w:val="22"/>
          <w:szCs w:val="22"/>
          <w:shd w:fill="auto" w:val="clear"/>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rPr>
          <w:rStyle w:val="LinkdaInternet"/>
          <w:sz w:val="22"/>
          <w:i w:val="false"/>
          <w:shd w:fill="auto" w:val="clear"/>
          <w:szCs w:val="22"/>
          <w:color w:val="3465A4"/>
        </w:rPr>
        <w:instrText xml:space="preserve"> HYPERLINK "https://www.in.gov.br/en/web/dou/-/circular-susep-n-662-de-11-de-abril-de-2022-392772088" \l "art20"</w:instrText>
      </w:r>
      <w:r>
        <w:rPr>
          <w:rStyle w:val="LinkdaInternet"/>
          <w:sz w:val="22"/>
          <w:i w:val="false"/>
          <w:shd w:fill="auto" w:val="clear"/>
          <w:szCs w:val="22"/>
          <w:color w:val="3465A4"/>
        </w:rPr>
        <w:fldChar w:fldCharType="separate"/>
      </w:r>
      <w:r>
        <w:rPr>
          <w:rStyle w:val="LinkdaInternet"/>
          <w:i w:val="false"/>
          <w:color w:val="3465A4"/>
          <w:sz w:val="22"/>
          <w:szCs w:val="22"/>
          <w:shd w:fill="auto" w:val="clear"/>
        </w:rPr>
        <w:t>art. 20 da Circular Susep n° 662, de 11 de abril de 2022</w:t>
      </w:r>
      <w:r>
        <w:rPr>
          <w:rStyle w:val="LinkdaInternet"/>
          <w:sz w:val="22"/>
          <w:i w:val="false"/>
          <w:shd w:fill="auto" w:val="clear"/>
          <w:szCs w:val="22"/>
          <w:color w:val="3465A4"/>
        </w:rPr>
        <w:fldChar w:fldCharType="end"/>
      </w:r>
      <w:r>
        <w:rPr>
          <w:i w:val="false"/>
          <w:color w:val="3465A4"/>
          <w:sz w:val="22"/>
          <w:szCs w:val="22"/>
          <w:shd w:fill="auto" w:val="clear"/>
        </w:rPr>
        <w:t>.</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O garantidor não é parte para figurar em processo administrativo instaurado pelo contratante com o objetivo de apurar prejuízos e/ou aplicar sanções à contratada. </w:t>
      </w:r>
    </w:p>
    <w:p>
      <w:pPr>
        <w:pStyle w:val="Nvel2Red"/>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O contratado autoriza o contratante a reter, a qualquer tempo, a garantia, na forma prevista no Edital e neste Contrato.</w:t>
      </w:r>
    </w:p>
    <w:p>
      <w:pPr>
        <w:pStyle w:val="Nvel2Red"/>
        <w:numPr>
          <w:ilvl w:val="1"/>
          <w:numId w:val="14"/>
        </w:numPr>
        <w:tabs>
          <w:tab w:val="clear" w:pos="720"/>
          <w:tab w:val="left" w:pos="851" w:leader="none"/>
        </w:tabs>
        <w:spacing w:lineRule="auto" w:line="240" w:before="120" w:after="288"/>
        <w:ind w:left="0" w:hanging="0"/>
        <w:jc w:val="both"/>
        <w:rPr/>
      </w:pPr>
      <w:r>
        <w:rPr>
          <w:i w:val="false"/>
          <w:color w:val="3465A4"/>
          <w:sz w:val="22"/>
          <w:szCs w:val="22"/>
          <w:shd w:fill="auto" w:val="clear"/>
        </w:rPr>
        <w:t xml:space="preserve">Além da garantia de que tratam os </w:t>
      </w:r>
      <w:r>
        <w:fldChar w:fldCharType="begin"/>
      </w:r>
      <w:r>
        <w:rPr>
          <w:rStyle w:val="LinkdaInternet"/>
          <w:sz w:val="22"/>
          <w:i w:val="false"/>
          <w:shd w:fill="auto" w:val="clear"/>
          <w:szCs w:val="22"/>
          <w:color w:val="3465A4"/>
        </w:rPr>
        <w:instrText xml:space="preserve"> HYPERLINK "http://www.planalto.gov.br/ccivil_03/_ato2019-2022/2021/lei/L14133.htm" \l "art96"</w:instrText>
      </w:r>
      <w:r>
        <w:rPr>
          <w:rStyle w:val="LinkdaInternet"/>
          <w:sz w:val="22"/>
          <w:i w:val="false"/>
          <w:shd w:fill="auto" w:val="clear"/>
          <w:szCs w:val="22"/>
          <w:color w:val="3465A4"/>
        </w:rPr>
        <w:fldChar w:fldCharType="separate"/>
      </w:r>
      <w:r>
        <w:rPr>
          <w:rStyle w:val="LinkdaInternet"/>
          <w:i w:val="false"/>
          <w:color w:val="3465A4"/>
          <w:sz w:val="22"/>
          <w:szCs w:val="22"/>
          <w:shd w:fill="auto" w:val="clear"/>
        </w:rPr>
        <w:t>arts. 96 e seguintes da Lei nº 14.133/21</w:t>
      </w:r>
      <w:r>
        <w:rPr>
          <w:rStyle w:val="LinkdaInternet"/>
          <w:sz w:val="22"/>
          <w:i w:val="false"/>
          <w:shd w:fill="auto" w:val="clear"/>
          <w:szCs w:val="22"/>
          <w:color w:val="3465A4"/>
        </w:rPr>
        <w:fldChar w:fldCharType="end"/>
      </w:r>
      <w:r>
        <w:rPr>
          <w:i w:val="false"/>
          <w:color w:val="3465A4"/>
          <w:sz w:val="22"/>
          <w:szCs w:val="22"/>
          <w:shd w:fill="auto" w:val="clear"/>
        </w:rPr>
        <w:t>, a presente contratação possui previsão de garantia contratual do bem a ser fornecido, incluindo manutenção e assistência técnica, conforme condições estabelecidas no Termo de Referência.</w:t>
      </w:r>
    </w:p>
    <w:p>
      <w:pPr>
        <w:pStyle w:val="Nvel3R"/>
        <w:widowControl/>
        <w:numPr>
          <w:ilvl w:val="2"/>
          <w:numId w:val="14"/>
        </w:numPr>
        <w:tabs>
          <w:tab w:val="clear" w:pos="720"/>
          <w:tab w:val="left" w:pos="851" w:leader="none"/>
        </w:tabs>
        <w:suppressAutoHyphens w:val="true"/>
        <w:bidi w:val="0"/>
        <w:spacing w:lineRule="auto" w:line="240" w:before="120" w:after="288"/>
        <w:ind w:left="-227" w:right="0" w:hanging="0"/>
        <w:jc w:val="both"/>
        <w:rPr>
          <w:rFonts w:ascii="Times New Roman" w:hAnsi="Times New Roman"/>
          <w:sz w:val="22"/>
          <w:szCs w:val="22"/>
        </w:rPr>
      </w:pPr>
      <w:r>
        <w:rPr>
          <w:i w:val="false"/>
          <w:color w:val="3465A4"/>
          <w:sz w:val="22"/>
          <w:szCs w:val="22"/>
          <w:shd w:fill="auto" w:val="clear"/>
        </w:rPr>
        <w:t>A garantia de execução é independente de eventual garantia do produto</w:t>
      </w:r>
      <w:r>
        <w:rPr>
          <w:color w:val="3465A4"/>
          <w:sz w:val="22"/>
          <w:szCs w:val="22"/>
          <w:shd w:fill="auto" w:val="clear"/>
        </w:rPr>
        <w:t>/</w:t>
      </w:r>
      <w:r>
        <w:rPr>
          <w:i w:val="false"/>
          <w:color w:val="3465A4"/>
          <w:sz w:val="22"/>
          <w:szCs w:val="22"/>
          <w:shd w:fill="auto" w:val="clear"/>
        </w:rPr>
        <w:t>serviços prevista especificamente no Termo de Referência.</w:t>
      </w:r>
    </w:p>
    <w:p>
      <w:pPr>
        <w:pStyle w:val="Nivel01"/>
        <w:numPr>
          <w:ilvl w:val="0"/>
          <w:numId w:val="14"/>
        </w:numPr>
        <w:tabs>
          <w:tab w:val="clear" w:pos="567"/>
          <w:tab w:val="left" w:pos="0" w:leader="none"/>
        </w:tabs>
        <w:spacing w:lineRule="auto" w:line="240" w:before="120" w:after="288"/>
        <w:ind w:left="0" w:hanging="426"/>
        <w:jc w:val="both"/>
        <w:rPr/>
      </w:pPr>
      <w:bookmarkStart w:id="61" w:name="_Toc124846887"/>
      <w:bookmarkStart w:id="62" w:name="_Toc155271669"/>
      <w:r>
        <w:rPr>
          <w:rFonts w:ascii="Times New Roman" w:hAnsi="Times New Roman"/>
          <w:color w:val="auto"/>
          <w:sz w:val="22"/>
          <w:szCs w:val="22"/>
        </w:rPr>
        <w:t>CLÁUSULA DÉCIMA PRIMEIRA – INFRAÇÕES E SANÇÕES ADMINISTRATIVAS (</w:t>
      </w:r>
      <w:r>
        <w:fldChar w:fldCharType="begin"/>
      </w:r>
      <w:r>
        <w:rPr>
          <w:rStyle w:val="LinkdaInternet"/>
          <w:sz w:val="22"/>
          <w:szCs w:val="22"/>
          <w:rFonts w:ascii="Times New Roman" w:hAnsi="Times New Roman"/>
          <w:color w:val="auto"/>
        </w:rPr>
        <w:instrText xml:space="preserve"> HYPERLINK "http://www.planalto.gov.br/ccivil_03/_ato2019-2022/2021/lei/L14133.htm" \l "art92"</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XIV</w:t>
      </w:r>
      <w:r>
        <w:rPr>
          <w:rStyle w:val="LinkdaInternet"/>
          <w:sz w:val="22"/>
          <w:szCs w:val="22"/>
          <w:rFonts w:ascii="Times New Roman" w:hAnsi="Times New Roman"/>
          <w:color w:val="auto"/>
        </w:rPr>
        <w:fldChar w:fldCharType="end"/>
      </w:r>
      <w:r>
        <w:rPr>
          <w:rFonts w:ascii="Times New Roman" w:hAnsi="Times New Roman"/>
          <w:color w:val="auto"/>
          <w:sz w:val="22"/>
          <w:szCs w:val="22"/>
        </w:rPr>
        <w:t>)</w:t>
      </w:r>
      <w:bookmarkEnd w:id="61"/>
      <w:bookmarkEnd w:id="62"/>
    </w:p>
    <w:p>
      <w:pPr>
        <w:pStyle w:val="ListParagraph"/>
        <w:widowControl/>
        <w:numPr>
          <w:ilvl w:val="1"/>
          <w:numId w:val="14"/>
        </w:numPr>
        <w:tabs>
          <w:tab w:val="clear" w:pos="720"/>
          <w:tab w:val="left" w:pos="0"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O </w:t>
      </w:r>
      <w:bookmarkStart w:id="63" w:name="_Toc124846888"/>
      <w:r>
        <w:rPr>
          <w:rFonts w:eastAsia="Calibri" w:eastAsiaTheme="minorHAnsi"/>
          <w:color w:val="000000"/>
          <w:sz w:val="22"/>
          <w:szCs w:val="22"/>
          <w:lang w:val="pt-BR"/>
        </w:rPr>
        <w:t>contratado será responsabilizado administrativamente pelas seguintes infrações:</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dar causa à inexecução parcial do contrato;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dar causa à inexecução parcial do contrato que cause grave dano à Administração, ao funcionamento dos serviços públicos ou ao interesse coletivo;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dar causa à inexecução total do contrato;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deixar de entregar a documentação exigida para o certame;</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não manter a proposta, salvo em decorrência de fato superveniente devidamente justificado;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não celebrar o contrato ou não entregar a documentação exigida para a contratação, quando</w:t>
      </w:r>
    </w:p>
    <w:p>
      <w:pPr>
        <w:pStyle w:val="ListParagraph"/>
        <w:widowControl/>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convocado dentro do prazo de validade de sua proposta;</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ensejar o retardamento da execução ou da entrega do objeto da licitação sem motivo justificado;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apresentar declaração ou documentação falsa exigida para o certame ou prestar declaração</w:t>
      </w:r>
    </w:p>
    <w:p>
      <w:pPr>
        <w:pStyle w:val="ListParagraph"/>
        <w:widowControl/>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falsa durante a licitação ou a execução do contrato;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fraudar a licitação ou praticar ato fraudulento na execução do contrato;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comportar-se de modo inidôneo ou cometer fraude de qualquer natureza;</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praticar atos ilícitos com vistas a frustrar os objetivos da licitação;</w:t>
      </w:r>
    </w:p>
    <w:p>
      <w:pPr>
        <w:pStyle w:val="ListParagraph"/>
        <w:widowControl/>
        <w:numPr>
          <w:ilvl w:val="2"/>
          <w:numId w:val="17"/>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praticar ato lesivo previsto no art. 5º da Lei nº 12.846, de 1º de agosto de 2013.</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Serão aplicadas ao responsável pelas infrações administrativas previstas no item anterior, nos termos da Lei 14.133/21, as seguintes sanções:</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2"/>
          <w:numId w:val="18"/>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advertência;</w:t>
      </w:r>
    </w:p>
    <w:p>
      <w:pPr>
        <w:pStyle w:val="ListParagraph"/>
        <w:widowControl/>
        <w:numPr>
          <w:ilvl w:val="2"/>
          <w:numId w:val="18"/>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multa de no mínimo 0,5% (cinco décimos por cento) e máximo de 30% (trinta por cento) do valor do objeto licitado ou contratado;</w:t>
      </w:r>
    </w:p>
    <w:p>
      <w:pPr>
        <w:pStyle w:val="ListParagraph"/>
        <w:widowControl/>
        <w:numPr>
          <w:ilvl w:val="2"/>
          <w:numId w:val="18"/>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impedimento de licitar e contratar, no âmbito da Administração Pública direta e indireta do órgão licitante, pelo prazo máximo de 3 (três) anos.</w:t>
      </w:r>
    </w:p>
    <w:p>
      <w:pPr>
        <w:pStyle w:val="ListParagraph"/>
        <w:widowControl/>
        <w:numPr>
          <w:ilvl w:val="2"/>
          <w:numId w:val="18"/>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declaração de inidoneidade para licitar ou contratar no âmbito da Administração Pública direta e indireta de todos os entes federativos, pelo prazo mínimo de 3 (três) anos e máximo de 6 (seis) anos.</w:t>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 aplicação de multa de mora não impedirá que a Administração a converta em compensatória e promova a extinção unilateral do contrato com a aplicação cumulada de outras sanções.</w:t>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Se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 </w:t>
      </w:r>
      <w:r>
        <w:rPr>
          <w:rFonts w:eastAsia="Calibri" w:eastAsiaTheme="minorHAnsi"/>
          <w:color w:val="000000"/>
          <w:sz w:val="22"/>
          <w:szCs w:val="22"/>
          <w:lang w:val="pt-BR"/>
        </w:rPr>
        <w:t xml:space="preserve">A aplicação das sanções previstas no item </w:t>
      </w:r>
      <w:r>
        <w:rPr>
          <w:rFonts w:eastAsia="Calibri" w:eastAsiaTheme="minorHAnsi"/>
          <w:b/>
          <w:color w:val="000000"/>
          <w:sz w:val="22"/>
          <w:szCs w:val="22"/>
          <w:lang w:val="pt-BR"/>
        </w:rPr>
        <w:t>11.2</w:t>
      </w:r>
      <w:r>
        <w:rPr>
          <w:rFonts w:eastAsia="Calibri" w:eastAsiaTheme="minorHAnsi"/>
          <w:color w:val="000000"/>
          <w:sz w:val="22"/>
          <w:szCs w:val="22"/>
          <w:lang w:val="pt-BR"/>
        </w:rPr>
        <w:t>. deste Edital não exclui, em hipótese alguma, a obrigação de reparação integral do dano causado à Administração Pública.</w:t>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 </w:t>
      </w:r>
      <w:r>
        <w:rPr>
          <w:rFonts w:eastAsia="Calibri" w:eastAsiaTheme="minorHAnsi"/>
          <w:color w:val="000000"/>
          <w:sz w:val="22"/>
          <w:szCs w:val="22"/>
          <w:lang w:val="pt-BR"/>
        </w:rPr>
        <w:t xml:space="preserve">Na aplicação da sanção prevista no item </w:t>
      </w:r>
      <w:r>
        <w:rPr>
          <w:rFonts w:eastAsia="Calibri" w:eastAsiaTheme="minorHAnsi"/>
          <w:b/>
          <w:color w:val="000000"/>
          <w:sz w:val="22"/>
          <w:szCs w:val="22"/>
          <w:lang w:val="pt-BR"/>
        </w:rPr>
        <w:t>11.2,</w:t>
      </w:r>
      <w:r>
        <w:rPr>
          <w:rFonts w:eastAsia="Calibri" w:eastAsiaTheme="minorHAnsi"/>
          <w:color w:val="000000"/>
          <w:sz w:val="22"/>
          <w:szCs w:val="22"/>
          <w:lang w:val="pt-BR"/>
        </w:rPr>
        <w:t xml:space="preserve">  do presente edital, será facultada a defesa do interessado no prazo de </w:t>
      </w:r>
      <w:r>
        <w:rPr>
          <w:rFonts w:eastAsia="Calibri" w:eastAsiaTheme="minorHAnsi"/>
          <w:b/>
          <w:color w:val="000000"/>
          <w:sz w:val="22"/>
          <w:szCs w:val="22"/>
          <w:lang w:val="pt-BR"/>
        </w:rPr>
        <w:t>15 (quinze) dias úteis</w:t>
      </w:r>
      <w:r>
        <w:rPr>
          <w:rFonts w:eastAsia="Calibri" w:eastAsiaTheme="minorHAnsi"/>
          <w:color w:val="000000"/>
          <w:sz w:val="22"/>
          <w:szCs w:val="22"/>
          <w:lang w:val="pt-BR"/>
        </w:rPr>
        <w:t>, contado da data de sua intimação.</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Para aplicação das sanções previstas no item </w:t>
      </w:r>
      <w:r>
        <w:rPr>
          <w:rFonts w:eastAsia="Calibri" w:eastAsiaTheme="minorHAnsi"/>
          <w:b/>
          <w:color w:val="000000"/>
          <w:sz w:val="22"/>
          <w:szCs w:val="22"/>
          <w:lang w:val="pt-BR"/>
        </w:rPr>
        <w:t>11.2</w:t>
      </w:r>
      <w:r>
        <w:rPr>
          <w:rFonts w:eastAsia="Calibri" w:eastAsiaTheme="minorHAnsi"/>
          <w:color w:val="000000"/>
          <w:sz w:val="22"/>
          <w:szCs w:val="22"/>
          <w:lang w:val="pt-BR"/>
        </w:rPr>
        <w:t xml:space="preserve"> do presente Edital o licitante ou o contratado será intimado para, no prazo de </w:t>
      </w:r>
      <w:r>
        <w:rPr>
          <w:rFonts w:eastAsia="Calibri" w:eastAsiaTheme="minorHAnsi"/>
          <w:b/>
          <w:color w:val="000000"/>
          <w:sz w:val="22"/>
          <w:szCs w:val="22"/>
          <w:lang w:val="pt-BR"/>
        </w:rPr>
        <w:t>15 (quinze) dias úteis</w:t>
      </w:r>
      <w:r>
        <w:rPr>
          <w:rFonts w:eastAsia="Calibri" w:eastAsiaTheme="minorHAnsi"/>
          <w:color w:val="000000"/>
          <w:sz w:val="22"/>
          <w:szCs w:val="22"/>
          <w:lang w:val="pt-BR"/>
        </w:rPr>
        <w:t>, contado da data de intimação, apresentar defesa escrita e especificar as provas que pretenda produzir.</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 xml:space="preserve">Na hipótese de deferimento de pedido de produção de novas provas ou de juntada de provas julgadas indispensáveis pela comissão, o licitante ou o contratado poderá apresentar alegações finais no prazo de </w:t>
      </w:r>
      <w:r>
        <w:rPr>
          <w:rFonts w:eastAsia="Calibri" w:eastAsiaTheme="minorHAnsi"/>
          <w:b/>
          <w:color w:val="000000"/>
          <w:sz w:val="22"/>
          <w:szCs w:val="22"/>
          <w:lang w:val="pt-BR"/>
        </w:rPr>
        <w:t>15 (quinze) dias úteis</w:t>
      </w:r>
      <w:r>
        <w:rPr>
          <w:rFonts w:eastAsia="Calibri" w:eastAsiaTheme="minorHAnsi"/>
          <w:color w:val="000000"/>
          <w:sz w:val="22"/>
          <w:szCs w:val="22"/>
          <w:lang w:val="pt-BR"/>
        </w:rPr>
        <w:t>, contado da data da intimação.</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Serão indeferidas pela comissão, mediante decisão fundamentada, provas ilícitas, impertinentes, desnecessárias, protelatórias ou intempestivas.</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ListParagraph"/>
        <w:widowControl/>
        <w:tabs>
          <w:tab w:val="clear" w:pos="720"/>
          <w:tab w:val="left" w:pos="851" w:leader="none"/>
        </w:tabs>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1"/>
          <w:numId w:val="14"/>
        </w:numPr>
        <w:tabs>
          <w:tab w:val="clear" w:pos="720"/>
          <w:tab w:val="left" w:pos="851" w:leader="none"/>
        </w:tabs>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É admitida a reabilitação do licitante ou contratado perante a própria autoridade que aplicou a penalidade, exigidos, cumulativamente:</w:t>
      </w:r>
    </w:p>
    <w:p>
      <w:pPr>
        <w:pStyle w:val="ListParagraph"/>
        <w:spacing w:lineRule="auto" w:line="24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ListParagraph"/>
        <w:widowControl/>
        <w:numPr>
          <w:ilvl w:val="2"/>
          <w:numId w:val="1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reparação integral do dano causado à Administração Pública;</w:t>
      </w:r>
    </w:p>
    <w:p>
      <w:pPr>
        <w:pStyle w:val="ListParagraph"/>
        <w:widowControl/>
        <w:numPr>
          <w:ilvl w:val="2"/>
          <w:numId w:val="1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pagamento da multa;</w:t>
      </w:r>
    </w:p>
    <w:p>
      <w:pPr>
        <w:pStyle w:val="ListParagraph"/>
        <w:widowControl/>
        <w:numPr>
          <w:ilvl w:val="2"/>
          <w:numId w:val="1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transcurso do prazo mínimo de 1 (um) ano da aplicação da penalidade, no caso de impedimento de licitar e contratar, ou de 3 (três) anos da aplicação da penalidade, no caso de declaração de inidoneidade;</w:t>
      </w:r>
    </w:p>
    <w:p>
      <w:pPr>
        <w:pStyle w:val="ListParagraph"/>
        <w:widowControl/>
        <w:numPr>
          <w:ilvl w:val="2"/>
          <w:numId w:val="1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cumprimento das condições de reabilitação definidas no ato punitivo;</w:t>
      </w:r>
    </w:p>
    <w:p>
      <w:pPr>
        <w:pStyle w:val="ListParagraph"/>
        <w:widowControl/>
        <w:numPr>
          <w:ilvl w:val="2"/>
          <w:numId w:val="19"/>
        </w:numPr>
        <w:spacing w:lineRule="auto" w:line="240"/>
        <w:ind w:left="0" w:hanging="0"/>
        <w:jc w:val="both"/>
        <w:rPr>
          <w:rFonts w:ascii="Times New Roman" w:hAnsi="Times New Roman"/>
          <w:sz w:val="22"/>
          <w:szCs w:val="22"/>
        </w:rPr>
      </w:pPr>
      <w:r>
        <w:rPr>
          <w:rFonts w:eastAsia="Calibri" w:eastAsiaTheme="minorHAnsi"/>
          <w:color w:val="000000"/>
          <w:sz w:val="22"/>
          <w:szCs w:val="22"/>
          <w:lang w:val="pt-BR"/>
        </w:rPr>
        <w:t>análise jurídica prévia, com posicionamento conclusivo quanto ao cumprimento dos requisitos definidos neste artigo.</w:t>
      </w:r>
    </w:p>
    <w:p>
      <w:pPr>
        <w:pStyle w:val="ListParagraph"/>
        <w:widowControl/>
        <w:spacing w:lineRule="auto" w:line="240"/>
        <w:ind w:left="0" w:hanging="0"/>
        <w:jc w:val="both"/>
        <w:rPr>
          <w:rFonts w:ascii="Times New Roman" w:hAnsi="Times New Roman" w:eastAsia="Calibri" w:eastAsiaTheme="minorHAnsi"/>
          <w:color w:val="000000"/>
          <w:sz w:val="22"/>
          <w:szCs w:val="22"/>
          <w:lang w:val="pt-BR"/>
        </w:rPr>
      </w:pPr>
      <w:r>
        <w:rPr>
          <w:rFonts w:eastAsia="Calibri" w:eastAsiaTheme="minorHAnsi"/>
          <w:color w:val="000000"/>
          <w:sz w:val="22"/>
          <w:szCs w:val="22"/>
          <w:lang w:val="pt-BR"/>
        </w:rPr>
      </w:r>
    </w:p>
    <w:p>
      <w:pPr>
        <w:pStyle w:val="Nivel01"/>
        <w:numPr>
          <w:ilvl w:val="0"/>
          <w:numId w:val="14"/>
        </w:numPr>
        <w:tabs>
          <w:tab w:val="clear" w:pos="567"/>
          <w:tab w:val="left" w:pos="0" w:leader="none"/>
        </w:tabs>
        <w:spacing w:lineRule="auto" w:line="240" w:before="120" w:after="288"/>
        <w:ind w:left="0" w:hanging="284"/>
        <w:jc w:val="both"/>
        <w:rPr/>
      </w:pPr>
      <w:bookmarkStart w:id="64" w:name="_Toc155271670"/>
      <w:r>
        <w:rPr>
          <w:rFonts w:ascii="Times New Roman" w:hAnsi="Times New Roman"/>
          <w:color w:val="auto"/>
          <w:sz w:val="22"/>
          <w:szCs w:val="22"/>
        </w:rPr>
        <w:t>CLÁUSULA DÉCIMA SEGUNDA– DA EXTINÇÃO CONTRATUAL (</w:t>
      </w:r>
      <w:r>
        <w:fldChar w:fldCharType="begin"/>
      </w:r>
      <w:r>
        <w:rPr>
          <w:rStyle w:val="LinkdaInternet"/>
          <w:sz w:val="22"/>
          <w:szCs w:val="22"/>
          <w:rFonts w:ascii="Times New Roman" w:hAnsi="Times New Roman"/>
          <w:color w:val="auto"/>
        </w:rPr>
        <w:instrText xml:space="preserve"> HYPERLINK "http://www.planalto.gov.br/ccivil_03/_ato2019-2022/2021/lei/L14133.htm" \l "art92"</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XIX</w:t>
      </w:r>
      <w:r>
        <w:rPr>
          <w:rStyle w:val="LinkdaInternet"/>
          <w:sz w:val="22"/>
          <w:szCs w:val="22"/>
          <w:rFonts w:ascii="Times New Roman" w:hAnsi="Times New Roman"/>
          <w:color w:val="auto"/>
        </w:rPr>
        <w:fldChar w:fldCharType="end"/>
      </w:r>
      <w:r>
        <w:rPr>
          <w:rFonts w:ascii="Times New Roman" w:hAnsi="Times New Roman"/>
          <w:color w:val="auto"/>
          <w:sz w:val="22"/>
          <w:szCs w:val="22"/>
        </w:rPr>
        <w:t>)</w:t>
      </w:r>
      <w:bookmarkEnd w:id="63"/>
      <w:bookmarkEnd w:id="64"/>
    </w:p>
    <w:p>
      <w:pPr>
        <w:pStyle w:val="Normal"/>
        <w:tabs>
          <w:tab w:val="clear" w:pos="720"/>
          <w:tab w:val="left" w:pos="0" w:leader="none"/>
          <w:tab w:val="left" w:pos="851" w:leader="none"/>
        </w:tabs>
        <w:spacing w:lineRule="auto" w:line="240"/>
        <w:jc w:val="both"/>
        <w:rPr>
          <w:rFonts w:ascii="Times New Roman" w:hAnsi="Times New Roman"/>
          <w:sz w:val="22"/>
          <w:szCs w:val="22"/>
        </w:rPr>
      </w:pPr>
      <w:r>
        <w:rPr>
          <w:b/>
          <w:color w:val="3465A4"/>
          <w:sz w:val="22"/>
          <w:szCs w:val="22"/>
          <w:shd w:fill="auto" w:val="clear"/>
          <w:lang w:val="pt-BR" w:eastAsia="pt-BR"/>
        </w:rPr>
        <w:t>Contratos não contínuos</w:t>
      </w:r>
    </w:p>
    <w:p>
      <w:pPr>
        <w:pStyle w:val="Nvel2Red"/>
        <w:widowControl/>
        <w:numPr>
          <w:ilvl w:val="1"/>
          <w:numId w:val="20"/>
        </w:numPr>
        <w:tabs>
          <w:tab w:val="clear" w:pos="720"/>
          <w:tab w:val="left" w:pos="0" w:leader="none"/>
          <w:tab w:val="left" w:pos="851" w:leader="none"/>
        </w:tabs>
        <w:suppressAutoHyphens w:val="true"/>
        <w:bidi w:val="0"/>
        <w:spacing w:lineRule="auto" w:line="240" w:before="120" w:after="288"/>
        <w:ind w:left="0" w:right="0" w:hanging="0"/>
        <w:jc w:val="both"/>
        <w:rPr>
          <w:rFonts w:ascii="Times New Roman" w:hAnsi="Times New Roman"/>
          <w:sz w:val="22"/>
          <w:szCs w:val="22"/>
        </w:rPr>
      </w:pPr>
      <w:r>
        <w:rPr>
          <w:i w:val="false"/>
          <w:color w:val="3465A4"/>
          <w:sz w:val="22"/>
          <w:szCs w:val="22"/>
          <w:shd w:fill="auto" w:val="clear"/>
        </w:rPr>
        <w:t>O contrato se extingue quando cumpridas as obrigações de ambas as partes, ainda que isso ocorra antes do prazo estipulado para tanto.</w:t>
      </w:r>
    </w:p>
    <w:p>
      <w:pPr>
        <w:pStyle w:val="Nvel2Red"/>
        <w:numPr>
          <w:ilvl w:val="1"/>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Se as obrigações não forem cumpridas no prazo estipulado, a vigência ficará prorrogada até a conclusão do objeto, caso em que deverá a Administração providenciar a readequação do cronograma fixado para o contrato.</w:t>
      </w:r>
    </w:p>
    <w:p>
      <w:pPr>
        <w:pStyle w:val="Nvel3R"/>
        <w:numPr>
          <w:ilvl w:val="2"/>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iCs w:val="false"/>
          <w:color w:val="3465A4"/>
          <w:sz w:val="22"/>
          <w:szCs w:val="22"/>
          <w:shd w:fill="auto" w:val="clear"/>
        </w:rPr>
        <w:t>Quando a não conclusão do contrato referida no item anterior decorrer de culpa do contratado, 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rPr>
        <w:t>OU</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rPr>
        <w:t>CONTRATO DE FORNECIMENTO NÃO CONTINUO (OBJETO A SER EXECUTADO POR DETERMINADO PRAZO</w:t>
      </w:r>
    </w:p>
    <w:p>
      <w:pPr>
        <w:pStyle w:val="Nvel2Red"/>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12.1 O contrato se extingue quando vencido o prazo nele estipulado, independentemente de terem sido cumpridas ou não as obrigações de ambas as partes contraentes.</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rPr>
        <w:t>OU</w:t>
      </w:r>
    </w:p>
    <w:p>
      <w:pPr>
        <w:pStyle w:val="Ou"/>
        <w:tabs>
          <w:tab w:val="clear" w:pos="720"/>
          <w:tab w:val="left" w:pos="0" w:leader="none"/>
          <w:tab w:val="left" w:pos="851" w:leader="none"/>
        </w:tabs>
        <w:spacing w:lineRule="auto" w:line="240" w:before="120" w:after="288"/>
        <w:jc w:val="both"/>
        <w:rPr>
          <w:rFonts w:ascii="Times New Roman" w:hAnsi="Times New Roman"/>
          <w:sz w:val="22"/>
          <w:szCs w:val="22"/>
        </w:rPr>
      </w:pPr>
      <w:r>
        <w:rPr>
          <w:i w:val="false"/>
          <w:color w:val="3465A4"/>
          <w:sz w:val="22"/>
          <w:szCs w:val="22"/>
          <w:shd w:fill="auto" w:val="clear"/>
        </w:rPr>
        <w:t>CONTRATO DE FORNECIMENTO CONTÍNUO</w:t>
      </w:r>
    </w:p>
    <w:p>
      <w:pPr>
        <w:pStyle w:val="Nvel2Red"/>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12.2 O contrato se extingue quando vencido o prazo nele estipulado, independentemente de terem sido cumpridas ou não as obrigações de ambas as partes contraentes.</w:t>
      </w:r>
    </w:p>
    <w:p>
      <w:pPr>
        <w:pStyle w:val="Nvel3R"/>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12.2.1  O contrato pode ser extinto antes do prazo nele fixado, sem ônus para o Contratante, quando esta não dispuser de créditos orçamentários para sua continuidade ou quando entender que o contrato não mais lhe oferece vantagem.</w:t>
      </w:r>
    </w:p>
    <w:p>
      <w:pPr>
        <w:pStyle w:val="Nvel3R"/>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12.2.2 A extinção nesta hipótese ocorrerá na próxima data de aniversário do contrato, desde que haja a notificação do contratado pelo contratante nesse sentido com pelo menos 2 (dois) meses de antecedência desse dia.</w:t>
      </w:r>
    </w:p>
    <w:p>
      <w:pPr>
        <w:pStyle w:val="Nvel3R"/>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 w:val="false"/>
          <w:color w:val="3465A4"/>
          <w:sz w:val="22"/>
          <w:szCs w:val="22"/>
          <w:shd w:fill="auto" w:val="clear"/>
        </w:rPr>
        <w:t xml:space="preserve">12.2.3Caso a notificação da não-continuidade do contrato de que trata este subitem ocorra com menos de 2 (dois) meses da data de aniversário, a extinção contratual ocorrerá após 2 (dois) meses da data da comunicação, </w:t>
      </w:r>
      <w:r>
        <w:rPr>
          <w:i w:val="false"/>
          <w:color w:val="3465A4"/>
          <w:sz w:val="22"/>
          <w:szCs w:val="22"/>
          <w:u w:val="single"/>
          <w:shd w:fill="auto" w:val="clear"/>
        </w:rPr>
        <w:t>art. 106, III e §1º da Lei 14.133/21.</w:t>
      </w:r>
    </w:p>
    <w:p>
      <w:pPr>
        <w:pStyle w:val="Nivel2"/>
        <w:numPr>
          <w:ilvl w:val="1"/>
          <w:numId w:val="20"/>
        </w:numPr>
        <w:tabs>
          <w:tab w:val="clear" w:pos="720"/>
          <w:tab w:val="left" w:pos="0" w:leader="none"/>
          <w:tab w:val="left" w:pos="851" w:leader="none"/>
        </w:tabs>
        <w:spacing w:lineRule="auto" w:line="240" w:before="120" w:after="288"/>
        <w:ind w:left="0" w:hanging="0"/>
        <w:jc w:val="both"/>
        <w:rPr/>
      </w:pPr>
      <w:r>
        <w:rPr>
          <w:color w:val="auto"/>
          <w:sz w:val="22"/>
          <w:szCs w:val="22"/>
        </w:rPr>
        <w:t xml:space="preserve">O contrato pode ser extinto antes de cumpridas as obrigações nele estipuladas, ou antes do prazo nele fixado, por algum dos motivos previstos no </w:t>
      </w:r>
      <w:r>
        <w:fldChar w:fldCharType="begin"/>
      </w:r>
      <w:r>
        <w:rPr>
          <w:rStyle w:val="LinkdaInternet"/>
          <w:sz w:val="22"/>
          <w:szCs w:val="22"/>
          <w:color w:val="auto"/>
        </w:rPr>
        <w:instrText xml:space="preserve"> HYPERLINK "http://www.planalto.gov.br/ccivil_03/_ato2019-2022/2021/lei/L14133.htm" \l "art137"</w:instrText>
      </w:r>
      <w:r>
        <w:rPr>
          <w:rStyle w:val="LinkdaInternet"/>
          <w:sz w:val="22"/>
          <w:szCs w:val="22"/>
          <w:color w:val="auto"/>
        </w:rPr>
        <w:fldChar w:fldCharType="separate"/>
      </w:r>
      <w:r>
        <w:rPr>
          <w:rStyle w:val="LinkdaInternet"/>
          <w:color w:val="auto"/>
          <w:sz w:val="22"/>
          <w:szCs w:val="22"/>
        </w:rPr>
        <w:t>artigo 137 da Lei nº 14.133/21</w:t>
      </w:r>
      <w:r>
        <w:rPr>
          <w:rStyle w:val="LinkdaInternet"/>
          <w:sz w:val="22"/>
          <w:szCs w:val="22"/>
          <w:color w:val="auto"/>
        </w:rPr>
        <w:fldChar w:fldCharType="end"/>
      </w:r>
      <w:r>
        <w:rPr>
          <w:color w:val="auto"/>
          <w:sz w:val="22"/>
          <w:szCs w:val="22"/>
        </w:rPr>
        <w:t>, bem como amigavelmente, assegurados o contraditório e a ampla defesa.</w:t>
      </w:r>
    </w:p>
    <w:p>
      <w:pPr>
        <w:pStyle w:val="Nivel3"/>
        <w:numPr>
          <w:ilvl w:val="2"/>
          <w:numId w:val="20"/>
        </w:numPr>
        <w:tabs>
          <w:tab w:val="clear" w:pos="720"/>
          <w:tab w:val="left" w:pos="0" w:leader="none"/>
          <w:tab w:val="left" w:pos="851" w:leader="none"/>
        </w:tabs>
        <w:spacing w:lineRule="auto" w:line="240" w:before="120" w:after="288"/>
        <w:ind w:left="0" w:hanging="0"/>
        <w:jc w:val="both"/>
        <w:rPr/>
      </w:pPr>
      <w:r>
        <w:rPr>
          <w:color w:val="auto"/>
          <w:sz w:val="22"/>
          <w:szCs w:val="22"/>
        </w:rPr>
        <w:t xml:space="preserve">Nesta hipótese, aplicam-se também os </w:t>
      </w:r>
      <w:r>
        <w:fldChar w:fldCharType="begin"/>
      </w:r>
      <w:r>
        <w:rPr>
          <w:rStyle w:val="LinkdaInternet"/>
          <w:sz w:val="22"/>
          <w:szCs w:val="22"/>
          <w:color w:val="auto"/>
        </w:rPr>
        <w:instrText xml:space="preserve"> HYPERLINK "http://www.planalto.gov.br/ccivil_03/_ato2019-2022/2021/lei/L14133.htm" \l "art138"</w:instrText>
      </w:r>
      <w:r>
        <w:rPr>
          <w:rStyle w:val="LinkdaInternet"/>
          <w:sz w:val="22"/>
          <w:szCs w:val="22"/>
          <w:color w:val="auto"/>
        </w:rPr>
        <w:fldChar w:fldCharType="separate"/>
      </w:r>
      <w:r>
        <w:rPr>
          <w:rStyle w:val="LinkdaInternet"/>
          <w:color w:val="auto"/>
          <w:sz w:val="22"/>
          <w:szCs w:val="22"/>
        </w:rPr>
        <w:t>artigos 138 e 139 da mesma Lei</w:t>
      </w:r>
      <w:r>
        <w:rPr>
          <w:rStyle w:val="LinkdaInternet"/>
          <w:sz w:val="22"/>
          <w:szCs w:val="22"/>
          <w:color w:val="auto"/>
        </w:rPr>
        <w:fldChar w:fldCharType="end"/>
      </w:r>
      <w:r>
        <w:rPr>
          <w:color w:val="auto"/>
          <w:sz w:val="22"/>
          <w:szCs w:val="22"/>
        </w:rPr>
        <w:t>.</w:t>
      </w:r>
    </w:p>
    <w:p>
      <w:pPr>
        <w:pStyle w:val="Nivel3"/>
        <w:numPr>
          <w:ilvl w:val="2"/>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auto"/>
          <w:sz w:val="22"/>
          <w:szCs w:val="22"/>
        </w:rPr>
        <w:t>A alteração social ou a modificação da finalidade ou da estrutura da empresa não ensejará a rescisão se não restringir sua capacidade de concluir o contrato.</w:t>
      </w:r>
    </w:p>
    <w:p>
      <w:pPr>
        <w:pStyle w:val="Nivel4"/>
        <w:numPr>
          <w:ilvl w:val="3"/>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sz w:val="22"/>
          <w:szCs w:val="22"/>
        </w:rPr>
        <w:t>Se a operação implicar mudança da pessoa jurídica contratada, deverá ser formalizado termo aditivo para alteração subjetiva.</w:t>
      </w:r>
    </w:p>
    <w:p>
      <w:pPr>
        <w:pStyle w:val="Nivel2"/>
        <w:numPr>
          <w:ilvl w:val="1"/>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auto"/>
          <w:sz w:val="22"/>
          <w:szCs w:val="22"/>
        </w:rPr>
        <w:t>O termo de rescisão, sempre que possível, será precedido:</w:t>
      </w:r>
    </w:p>
    <w:p>
      <w:pPr>
        <w:pStyle w:val="Nivel3"/>
        <w:numPr>
          <w:ilvl w:val="2"/>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auto"/>
          <w:sz w:val="22"/>
          <w:szCs w:val="22"/>
        </w:rPr>
        <w:t>Balanço dos eventos contratuais já cumpridos ou parcialmente cumpridos;</w:t>
      </w:r>
    </w:p>
    <w:p>
      <w:pPr>
        <w:pStyle w:val="Nivel3"/>
        <w:numPr>
          <w:ilvl w:val="2"/>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auto"/>
          <w:sz w:val="22"/>
          <w:szCs w:val="22"/>
        </w:rPr>
        <w:t>Relação dos pagamentos já efetuados e ainda devidos;</w:t>
      </w:r>
    </w:p>
    <w:p>
      <w:pPr>
        <w:pStyle w:val="Nivel3"/>
        <w:numPr>
          <w:ilvl w:val="2"/>
          <w:numId w:val="2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auto"/>
          <w:sz w:val="22"/>
          <w:szCs w:val="22"/>
        </w:rPr>
        <w:t>Indenizações e multas.</w:t>
      </w:r>
    </w:p>
    <w:p>
      <w:pPr>
        <w:pStyle w:val="Nivel2"/>
        <w:numPr>
          <w:ilvl w:val="1"/>
          <w:numId w:val="20"/>
        </w:numPr>
        <w:tabs>
          <w:tab w:val="clear" w:pos="720"/>
          <w:tab w:val="left" w:pos="0" w:leader="none"/>
          <w:tab w:val="left" w:pos="851" w:leader="none"/>
        </w:tabs>
        <w:spacing w:lineRule="auto" w:line="240" w:before="120" w:after="288"/>
        <w:ind w:left="0" w:hanging="0"/>
        <w:jc w:val="both"/>
        <w:rPr/>
      </w:pPr>
      <w:r>
        <w:rPr>
          <w:color w:val="auto"/>
          <w:sz w:val="22"/>
          <w:szCs w:val="22"/>
        </w:rPr>
        <w:t>A extinção do contrato não configura óbice para o reconhecimento do desequilíbrio econômico-financeiro, hipótese em que será concedida indenização por meio de termo indenizatório (</w:t>
      </w:r>
      <w:r>
        <w:fldChar w:fldCharType="begin"/>
      </w:r>
      <w:r>
        <w:rPr>
          <w:rStyle w:val="LinkdaInternet"/>
          <w:sz w:val="22"/>
          <w:szCs w:val="22"/>
          <w:color w:val="auto"/>
        </w:rPr>
        <w:instrText xml:space="preserve"> HYPERLINK "http://www.planalto.gov.br/ccivil_03/_ato2019-2022/2021/lei/L14133.htm" \l "art131"</w:instrText>
      </w:r>
      <w:r>
        <w:rPr>
          <w:rStyle w:val="LinkdaInternet"/>
          <w:sz w:val="22"/>
          <w:szCs w:val="22"/>
          <w:color w:val="auto"/>
        </w:rPr>
        <w:fldChar w:fldCharType="separate"/>
      </w:r>
      <w:r>
        <w:rPr>
          <w:rStyle w:val="LinkdaInternet"/>
          <w:color w:val="auto"/>
          <w:sz w:val="22"/>
          <w:szCs w:val="22"/>
        </w:rPr>
        <w:t xml:space="preserve">art. 131, </w:t>
      </w:r>
      <w:r>
        <w:rPr>
          <w:rStyle w:val="LinkdaInternet"/>
          <w:sz w:val="22"/>
          <w:szCs w:val="22"/>
          <w:color w:val="auto"/>
        </w:rPr>
        <w:fldChar w:fldCharType="end"/>
      </w:r>
      <w:r>
        <w:rPr>
          <w:rStyle w:val="LinkdaInternet"/>
          <w:iCs/>
          <w:color w:val="auto"/>
          <w:sz w:val="22"/>
          <w:szCs w:val="22"/>
        </w:rPr>
        <w:t xml:space="preserve">caput, </w:t>
      </w:r>
      <w:r>
        <w:rPr>
          <w:rStyle w:val="LinkdaInternet"/>
          <w:color w:val="auto"/>
          <w:sz w:val="22"/>
          <w:szCs w:val="22"/>
        </w:rPr>
        <w:t>da Lei n.º 14.133, de 2021</w:t>
      </w:r>
      <w:r>
        <w:rPr>
          <w:color w:val="auto"/>
          <w:sz w:val="22"/>
          <w:szCs w:val="22"/>
        </w:rPr>
        <w:t xml:space="preserve">). </w:t>
      </w:r>
    </w:p>
    <w:p>
      <w:pPr>
        <w:pStyle w:val="Nivel01"/>
        <w:numPr>
          <w:ilvl w:val="0"/>
          <w:numId w:val="14"/>
        </w:numPr>
        <w:tabs>
          <w:tab w:val="clear" w:pos="567"/>
          <w:tab w:val="left" w:pos="0" w:leader="none"/>
        </w:tabs>
        <w:spacing w:lineRule="auto" w:line="240" w:before="120" w:after="288"/>
        <w:ind w:left="0" w:hanging="284"/>
        <w:jc w:val="both"/>
        <w:rPr/>
      </w:pPr>
      <w:bookmarkStart w:id="65" w:name="_Toc124846889"/>
      <w:bookmarkStart w:id="66" w:name="_Toc155271671"/>
      <w:r>
        <w:rPr>
          <w:rFonts w:ascii="Times New Roman" w:hAnsi="Times New Roman"/>
          <w:color w:val="000000"/>
          <w:sz w:val="22"/>
          <w:szCs w:val="22"/>
          <w:shd w:fill="auto" w:val="clear"/>
        </w:rPr>
        <w:t>CLÁUSULA DÉCIMA TERCEIRA – DOTAÇÃO ORÇAMENTÁRIA (</w:t>
      </w:r>
      <w:r>
        <w:fldChar w:fldCharType="begin"/>
      </w:r>
      <w:r>
        <w:rPr>
          <w:rStyle w:val="LinkdaInternet"/>
          <w:sz w:val="22"/>
          <w:shd w:fill="auto" w:val="clear"/>
          <w:szCs w:val="22"/>
          <w:rFonts w:ascii="Times New Roman" w:hAnsi="Times New Roman"/>
          <w:color w:val="000000"/>
        </w:rPr>
        <w:instrText xml:space="preserve"> HYPERLINK "http://www.planalto.gov.br/ccivil_03/_ato2019-2022/2021/lei/L14133.htm" \l "art92"</w:instrText>
      </w:r>
      <w:r>
        <w:rPr>
          <w:rStyle w:val="LinkdaInternet"/>
          <w:sz w:val="22"/>
          <w:shd w:fill="auto" w:val="clear"/>
          <w:szCs w:val="22"/>
          <w:rFonts w:ascii="Times New Roman" w:hAnsi="Times New Roman"/>
          <w:color w:val="000000"/>
        </w:rPr>
        <w:fldChar w:fldCharType="separate"/>
      </w:r>
      <w:r>
        <w:rPr>
          <w:rStyle w:val="LinkdaInternet"/>
          <w:rFonts w:ascii="Times New Roman" w:hAnsi="Times New Roman"/>
          <w:color w:val="000000"/>
          <w:sz w:val="22"/>
          <w:szCs w:val="22"/>
          <w:shd w:fill="auto" w:val="clear"/>
        </w:rPr>
        <w:t>art. 92, VIII</w:t>
      </w:r>
      <w:r>
        <w:rPr>
          <w:rStyle w:val="LinkdaInternet"/>
          <w:sz w:val="22"/>
          <w:shd w:fill="auto" w:val="clear"/>
          <w:szCs w:val="22"/>
          <w:rFonts w:ascii="Times New Roman" w:hAnsi="Times New Roman"/>
          <w:color w:val="000000"/>
        </w:rPr>
        <w:fldChar w:fldCharType="end"/>
      </w:r>
      <w:r>
        <w:rPr>
          <w:rFonts w:ascii="Times New Roman" w:hAnsi="Times New Roman"/>
          <w:color w:val="000000"/>
          <w:sz w:val="22"/>
          <w:szCs w:val="22"/>
          <w:shd w:fill="auto" w:val="clear"/>
        </w:rPr>
        <w:t>)</w:t>
      </w:r>
      <w:bookmarkEnd w:id="65"/>
      <w:bookmarkEnd w:id="66"/>
    </w:p>
    <w:p>
      <w:pPr>
        <w:pStyle w:val="Nivel2"/>
        <w:numPr>
          <w:ilvl w:val="1"/>
          <w:numId w:val="21"/>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rFonts w:eastAsia="Calibri" w:eastAsiaTheme="minorHAnsi"/>
          <w:iCs/>
          <w:color w:val="auto"/>
          <w:sz w:val="22"/>
          <w:szCs w:val="22"/>
          <w:lang w:val="en-US"/>
        </w:rPr>
        <w:t>Os recursos necessários ao atendimento das despesas correrão à conta da seguinte dotação orçamentária do</w:t>
      </w:r>
      <w:r>
        <w:rPr>
          <w:color w:val="auto"/>
          <w:sz w:val="22"/>
          <w:szCs w:val="22"/>
        </w:rPr>
        <w:t xml:space="preserve"> exercício financeiro vigente, e da correspondente no exercício subsequente</w:t>
      </w:r>
    </w:p>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color w:val="3465A4"/>
          <w:sz w:val="22"/>
          <w:szCs w:val="22"/>
          <w:shd w:fill="auto" w:val="clear"/>
        </w:rPr>
        <w:t>XXXXXXXXXX</w:t>
      </w:r>
    </w:p>
    <w:p>
      <w:pPr>
        <w:pStyle w:val="Nivel01"/>
        <w:numPr>
          <w:ilvl w:val="0"/>
          <w:numId w:val="14"/>
        </w:numPr>
        <w:tabs>
          <w:tab w:val="clear" w:pos="567"/>
          <w:tab w:val="left" w:pos="0" w:leader="none"/>
        </w:tabs>
        <w:spacing w:lineRule="auto" w:line="240" w:before="120" w:after="288"/>
        <w:ind w:left="0" w:hanging="284"/>
        <w:jc w:val="both"/>
        <w:rPr/>
      </w:pPr>
      <w:bookmarkStart w:id="67" w:name="_Toc124846890"/>
      <w:bookmarkStart w:id="68" w:name="_Toc155271672"/>
      <w:r>
        <w:rPr>
          <w:rFonts w:ascii="Times New Roman" w:hAnsi="Times New Roman"/>
          <w:color w:val="auto"/>
          <w:sz w:val="22"/>
          <w:szCs w:val="22"/>
        </w:rPr>
        <w:t>CLÁUSULA DÉCIMA QUARTA – DOS CASOS OMISSOS (</w:t>
      </w:r>
      <w:r>
        <w:fldChar w:fldCharType="begin"/>
      </w:r>
      <w:r>
        <w:rPr>
          <w:rStyle w:val="LinkdaInternet"/>
          <w:sz w:val="22"/>
          <w:szCs w:val="22"/>
          <w:rFonts w:ascii="Times New Roman" w:hAnsi="Times New Roman"/>
          <w:color w:val="auto"/>
        </w:rPr>
        <w:instrText xml:space="preserve"> HYPERLINK "http://www.planalto.gov.br/ccivil_03/_ato2019-2022/2021/lei/L14133.htm" \l "art92"</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III</w:t>
      </w:r>
      <w:r>
        <w:rPr>
          <w:rStyle w:val="LinkdaInternet"/>
          <w:sz w:val="22"/>
          <w:szCs w:val="22"/>
          <w:rFonts w:ascii="Times New Roman" w:hAnsi="Times New Roman"/>
          <w:color w:val="auto"/>
        </w:rPr>
        <w:fldChar w:fldCharType="end"/>
      </w:r>
      <w:r>
        <w:rPr>
          <w:rFonts w:ascii="Times New Roman" w:hAnsi="Times New Roman"/>
          <w:color w:val="auto"/>
          <w:sz w:val="22"/>
          <w:szCs w:val="22"/>
        </w:rPr>
        <w:t>)</w:t>
      </w:r>
      <w:bookmarkEnd w:id="67"/>
      <w:bookmarkEnd w:id="68"/>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 xml:space="preserve">Os casos omissos serão decididos pelo contratante, segundo as disposições contidas na </w:t>
      </w:r>
      <w:r>
        <w:rPr>
          <w:color w:val="auto"/>
          <w:sz w:val="22"/>
          <w:szCs w:val="22"/>
          <w:u w:val="single"/>
        </w:rPr>
        <w:t xml:space="preserve">Lei </w:t>
      </w:r>
      <w:hyperlink r:id="rId13">
        <w:r>
          <w:rPr>
            <w:rStyle w:val="LinkdaInternet"/>
            <w:color w:val="auto"/>
            <w:sz w:val="22"/>
            <w:szCs w:val="22"/>
          </w:rPr>
          <w:t>nº 14.133, de 2021</w:t>
        </w:r>
      </w:hyperlink>
      <w:r>
        <w:rPr>
          <w:color w:val="auto"/>
          <w:sz w:val="22"/>
          <w:szCs w:val="22"/>
        </w:rPr>
        <w:t xml:space="preserve">, </w:t>
      </w:r>
      <w:r>
        <w:rPr>
          <w:color w:val="3465A4"/>
          <w:sz w:val="22"/>
          <w:szCs w:val="22"/>
        </w:rPr>
        <w:t>Decreto Municipal n. XXXXXX</w:t>
      </w:r>
      <w:r>
        <w:rPr>
          <w:color w:val="auto"/>
          <w:sz w:val="22"/>
          <w:szCs w:val="22"/>
        </w:rPr>
        <w:t xml:space="preserve"> demais normas federais aplicáveis e, subsidiariamente, segundo as disposições contidas na </w:t>
      </w:r>
      <w:hyperlink r:id="rId14">
        <w:r>
          <w:rPr>
            <w:rStyle w:val="LinkdaInternet"/>
            <w:color w:val="auto"/>
            <w:sz w:val="22"/>
            <w:szCs w:val="22"/>
          </w:rPr>
          <w:t>Lei nº 8.078, de 1990 – Código de Defesa do Consumidor</w:t>
        </w:r>
      </w:hyperlink>
      <w:r>
        <w:rPr>
          <w:color w:val="auto"/>
          <w:sz w:val="22"/>
          <w:szCs w:val="22"/>
        </w:rPr>
        <w:t xml:space="preserve"> – e normas e princípios gerais dos contratos.</w:t>
      </w:r>
    </w:p>
    <w:p>
      <w:pPr>
        <w:pStyle w:val="Nivel01"/>
        <w:numPr>
          <w:ilvl w:val="0"/>
          <w:numId w:val="14"/>
        </w:numPr>
        <w:tabs>
          <w:tab w:val="clear" w:pos="567"/>
          <w:tab w:val="left" w:pos="0" w:leader="none"/>
        </w:tabs>
        <w:spacing w:lineRule="auto" w:line="240" w:before="120" w:after="288"/>
        <w:ind w:left="0" w:hanging="284"/>
        <w:jc w:val="both"/>
        <w:rPr>
          <w:rFonts w:ascii="Times New Roman" w:hAnsi="Times New Roman"/>
          <w:sz w:val="22"/>
          <w:szCs w:val="22"/>
        </w:rPr>
      </w:pPr>
      <w:bookmarkStart w:id="69" w:name="_Toc124846891"/>
      <w:bookmarkStart w:id="70" w:name="_Toc155271673"/>
      <w:r>
        <w:rPr>
          <w:rFonts w:ascii="Times New Roman" w:hAnsi="Times New Roman"/>
          <w:color w:val="auto"/>
          <w:sz w:val="22"/>
          <w:szCs w:val="22"/>
        </w:rPr>
        <w:t>CLÁUSULA DÉCIMA QUINTA – ALTERAÇÕES</w:t>
      </w:r>
      <w:bookmarkEnd w:id="69"/>
      <w:bookmarkEnd w:id="70"/>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 xml:space="preserve">Eventuais alterações contratuais reger-se-ão pela disciplina dos </w:t>
      </w:r>
      <w:r>
        <w:fldChar w:fldCharType="begin"/>
      </w:r>
      <w:r>
        <w:rPr>
          <w:rStyle w:val="LinkdaInternet"/>
          <w:sz w:val="22"/>
          <w:szCs w:val="22"/>
          <w:color w:val="auto"/>
        </w:rPr>
        <w:instrText xml:space="preserve"> HYPERLINK "http://www.planalto.gov.br/ccivil_03/_ato2019-2022/2021/lei/L14133.htm" \l "art124"</w:instrText>
      </w:r>
      <w:r>
        <w:rPr>
          <w:rStyle w:val="LinkdaInternet"/>
          <w:sz w:val="22"/>
          <w:szCs w:val="22"/>
          <w:color w:val="auto"/>
        </w:rPr>
        <w:fldChar w:fldCharType="separate"/>
      </w:r>
      <w:r>
        <w:rPr>
          <w:rStyle w:val="LinkdaInternet"/>
          <w:color w:val="auto"/>
          <w:sz w:val="22"/>
          <w:szCs w:val="22"/>
        </w:rPr>
        <w:t>arts. 124 e seguintes da Lei nº 14.133, de 2021</w:t>
      </w:r>
      <w:r>
        <w:rPr>
          <w:rStyle w:val="LinkdaInternet"/>
          <w:sz w:val="22"/>
          <w:szCs w:val="22"/>
          <w:color w:val="auto"/>
        </w:rPr>
        <w:fldChar w:fldCharType="end"/>
      </w:r>
      <w:r>
        <w:rPr>
          <w:color w:val="auto"/>
          <w:sz w:val="22"/>
          <w:szCs w:val="22"/>
        </w:rPr>
        <w:t>.</w:t>
      </w:r>
    </w:p>
    <w:p>
      <w:pPr>
        <w:pStyle w:val="Nivel2"/>
        <w:numPr>
          <w:ilvl w:val="1"/>
          <w:numId w:val="14"/>
        </w:numPr>
        <w:tabs>
          <w:tab w:val="clear" w:pos="720"/>
          <w:tab w:val="left" w:pos="851" w:leader="none"/>
        </w:tabs>
        <w:spacing w:lineRule="auto" w:line="240" w:before="120" w:after="288"/>
        <w:ind w:left="0" w:hanging="0"/>
        <w:jc w:val="both"/>
        <w:rPr>
          <w:rFonts w:ascii="Times New Roman" w:hAnsi="Times New Roman"/>
          <w:sz w:val="22"/>
          <w:szCs w:val="22"/>
        </w:rPr>
      </w:pPr>
      <w:r>
        <w:rPr>
          <w:color w:val="auto"/>
          <w:sz w:val="22"/>
          <w:szCs w:val="22"/>
        </w:rPr>
        <w:t>O contratado é obrigado a aceitar, nas mesmas condições contratuais, os acréscimos ou supressões que se fizerem necessários, até o limite de 25% (vinte e cinco por cento) do valor inicial atualizado do contrato.</w:t>
      </w:r>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 xml:space="preserve">Registros que não caracterizam alteração do contrato podem ser realizados por simples apostila, dispensada a celebração de termo aditivo, na forma do </w:t>
      </w:r>
      <w:r>
        <w:fldChar w:fldCharType="begin"/>
      </w:r>
      <w:r>
        <w:rPr>
          <w:rStyle w:val="LinkdaInternet"/>
          <w:sz w:val="22"/>
          <w:szCs w:val="22"/>
          <w:color w:val="auto"/>
        </w:rPr>
        <w:instrText xml:space="preserve"> HYPERLINK "http://www.planalto.gov.br/ccivil_03/_ato2019-2022/2021/lei/L14133.htm" \l "art136"</w:instrText>
      </w:r>
      <w:r>
        <w:rPr>
          <w:rStyle w:val="LinkdaInternet"/>
          <w:sz w:val="22"/>
          <w:szCs w:val="22"/>
          <w:color w:val="auto"/>
        </w:rPr>
        <w:fldChar w:fldCharType="separate"/>
      </w:r>
      <w:r>
        <w:rPr>
          <w:rStyle w:val="LinkdaInternet"/>
          <w:color w:val="auto"/>
          <w:sz w:val="22"/>
          <w:szCs w:val="22"/>
        </w:rPr>
        <w:t>art. 136 da Lei nº 14.133, de 2021</w:t>
      </w:r>
      <w:r>
        <w:rPr>
          <w:rStyle w:val="LinkdaInternet"/>
          <w:sz w:val="22"/>
          <w:szCs w:val="22"/>
          <w:color w:val="auto"/>
        </w:rPr>
        <w:fldChar w:fldCharType="end"/>
      </w:r>
      <w:r>
        <w:rPr>
          <w:color w:val="auto"/>
          <w:sz w:val="22"/>
          <w:szCs w:val="22"/>
        </w:rPr>
        <w:t>.</w:t>
      </w:r>
    </w:p>
    <w:p>
      <w:pPr>
        <w:pStyle w:val="Nivel01"/>
        <w:numPr>
          <w:ilvl w:val="0"/>
          <w:numId w:val="14"/>
        </w:numPr>
        <w:tabs>
          <w:tab w:val="clear" w:pos="567"/>
          <w:tab w:val="left" w:pos="851" w:leader="none"/>
        </w:tabs>
        <w:spacing w:lineRule="auto" w:line="240" w:before="120" w:after="288"/>
        <w:ind w:left="0" w:hanging="426"/>
        <w:jc w:val="both"/>
        <w:rPr>
          <w:rFonts w:ascii="Times New Roman" w:hAnsi="Times New Roman"/>
          <w:sz w:val="22"/>
          <w:szCs w:val="22"/>
        </w:rPr>
      </w:pPr>
      <w:bookmarkStart w:id="71" w:name="_Toc124846892"/>
      <w:bookmarkStart w:id="72" w:name="_Toc155271674"/>
      <w:r>
        <w:rPr>
          <w:rFonts w:ascii="Times New Roman" w:hAnsi="Times New Roman"/>
          <w:color w:val="auto"/>
          <w:sz w:val="22"/>
          <w:szCs w:val="22"/>
        </w:rPr>
        <w:t>CLÁUSULA DÉCIMA SEXTA – PUBLICAÇÃO</w:t>
      </w:r>
      <w:bookmarkEnd w:id="71"/>
      <w:bookmarkEnd w:id="72"/>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rPr>
        <w:t xml:space="preserve">Incumbirá ao contratante divulgar o presente instrumento no Portal Nacional de Contratações Públicas (PNCP), na forma prevista no </w:t>
      </w:r>
      <w:r>
        <w:fldChar w:fldCharType="begin"/>
      </w:r>
      <w:r>
        <w:rPr>
          <w:rStyle w:val="LinkdaInternet"/>
          <w:sz w:val="22"/>
          <w:szCs w:val="22"/>
          <w:color w:val="auto"/>
        </w:rPr>
        <w:instrText xml:space="preserve"> HYPERLINK "http://www.planalto.gov.br/ccivil_03/_ato2019-2022/2021/lei/L14133.htm" \l "art94"</w:instrText>
      </w:r>
      <w:r>
        <w:rPr>
          <w:rStyle w:val="LinkdaInternet"/>
          <w:sz w:val="22"/>
          <w:szCs w:val="22"/>
          <w:color w:val="auto"/>
        </w:rPr>
        <w:fldChar w:fldCharType="separate"/>
      </w:r>
      <w:r>
        <w:rPr>
          <w:rStyle w:val="LinkdaInternet"/>
          <w:color w:val="auto"/>
          <w:sz w:val="22"/>
          <w:szCs w:val="22"/>
        </w:rPr>
        <w:t>art. 94 da Lei 14.133, de 2021</w:t>
      </w:r>
      <w:r>
        <w:rPr>
          <w:rStyle w:val="LinkdaInternet"/>
          <w:sz w:val="22"/>
          <w:szCs w:val="22"/>
          <w:color w:val="auto"/>
        </w:rPr>
        <w:fldChar w:fldCharType="end"/>
      </w:r>
      <w:r>
        <w:rPr>
          <w:color w:val="auto"/>
          <w:sz w:val="22"/>
          <w:szCs w:val="22"/>
        </w:rPr>
        <w:t>, bem como, no respectivo sítio oficial da Câmara Municipal de S, e extrato de contrato do Diário oficial do Município.</w:t>
      </w:r>
    </w:p>
    <w:p>
      <w:pPr>
        <w:pStyle w:val="Nivel01"/>
        <w:numPr>
          <w:ilvl w:val="0"/>
          <w:numId w:val="14"/>
        </w:numPr>
        <w:tabs>
          <w:tab w:val="clear" w:pos="567"/>
          <w:tab w:val="left" w:pos="851" w:leader="none"/>
        </w:tabs>
        <w:spacing w:lineRule="auto" w:line="240" w:before="120" w:after="288"/>
        <w:ind w:left="0" w:hanging="284"/>
        <w:jc w:val="both"/>
        <w:rPr/>
      </w:pPr>
      <w:bookmarkStart w:id="73" w:name="_Toc124846893"/>
      <w:bookmarkStart w:id="74" w:name="_Toc155271675"/>
      <w:r>
        <w:rPr>
          <w:rFonts w:ascii="Times New Roman" w:hAnsi="Times New Roman"/>
          <w:color w:val="auto"/>
          <w:sz w:val="22"/>
          <w:szCs w:val="22"/>
        </w:rPr>
        <w:t>CLÁUSULA DÉCIMA SÉTIMA– FORO (</w:t>
      </w:r>
      <w:r>
        <w:fldChar w:fldCharType="begin"/>
      </w:r>
      <w:r>
        <w:rPr>
          <w:rStyle w:val="LinkdaInternet"/>
          <w:sz w:val="22"/>
          <w:szCs w:val="22"/>
          <w:rFonts w:ascii="Times New Roman" w:hAnsi="Times New Roman"/>
          <w:color w:val="auto"/>
        </w:rPr>
        <w:instrText xml:space="preserve"> HYPERLINK "http://www.planalto.gov.br/ccivil_03/_ato2019-2022/2021/lei/L14133.htm" \l "art92§1"</w:instrText>
      </w:r>
      <w:r>
        <w:rPr>
          <w:rStyle w:val="LinkdaInternet"/>
          <w:sz w:val="22"/>
          <w:szCs w:val="22"/>
          <w:rFonts w:ascii="Times New Roman" w:hAnsi="Times New Roman"/>
          <w:color w:val="auto"/>
        </w:rPr>
        <w:fldChar w:fldCharType="separate"/>
      </w:r>
      <w:r>
        <w:rPr>
          <w:rStyle w:val="LinkdaInternet"/>
          <w:rFonts w:ascii="Times New Roman" w:hAnsi="Times New Roman"/>
          <w:color w:val="auto"/>
          <w:sz w:val="22"/>
          <w:szCs w:val="22"/>
        </w:rPr>
        <w:t>art. 92, §1º</w:t>
      </w:r>
      <w:r>
        <w:rPr>
          <w:rStyle w:val="LinkdaInternet"/>
          <w:sz w:val="22"/>
          <w:szCs w:val="22"/>
          <w:rFonts w:ascii="Times New Roman" w:hAnsi="Times New Roman"/>
          <w:color w:val="auto"/>
        </w:rPr>
        <w:fldChar w:fldCharType="end"/>
      </w:r>
      <w:r>
        <w:rPr>
          <w:rFonts w:ascii="Times New Roman" w:hAnsi="Times New Roman"/>
          <w:color w:val="auto"/>
          <w:sz w:val="22"/>
          <w:szCs w:val="22"/>
        </w:rPr>
        <w:t>)</w:t>
      </w:r>
      <w:bookmarkEnd w:id="73"/>
      <w:bookmarkEnd w:id="74"/>
    </w:p>
    <w:p>
      <w:pPr>
        <w:pStyle w:val="Nivel2"/>
        <w:numPr>
          <w:ilvl w:val="1"/>
          <w:numId w:val="14"/>
        </w:numPr>
        <w:tabs>
          <w:tab w:val="clear" w:pos="720"/>
          <w:tab w:val="left" w:pos="851" w:leader="none"/>
        </w:tabs>
        <w:spacing w:lineRule="auto" w:line="240" w:before="120" w:after="288"/>
        <w:ind w:left="0" w:hanging="0"/>
        <w:jc w:val="both"/>
        <w:rPr/>
      </w:pPr>
      <w:r>
        <w:rPr>
          <w:color w:val="auto"/>
          <w:sz w:val="22"/>
          <w:szCs w:val="22"/>
          <w:lang w:eastAsia="en-US"/>
        </w:rPr>
        <w:t>Fica eleito o Foro da Justiça Comum Estadual</w:t>
      </w:r>
      <w:r>
        <w:rPr>
          <w:color w:val="auto"/>
          <w:sz w:val="22"/>
          <w:szCs w:val="22"/>
        </w:rPr>
        <w:t xml:space="preserve">, Comarca de Três Pontas-MG para dirimir os litígios que decorrerem da execução deste Termo de Contrato que não puderem ser compostos pela conciliação, conforme </w:t>
      </w:r>
      <w:r>
        <w:fldChar w:fldCharType="begin"/>
      </w:r>
      <w:r>
        <w:rPr>
          <w:rStyle w:val="LinkdaInternet"/>
          <w:sz w:val="22"/>
          <w:szCs w:val="22"/>
          <w:color w:val="auto"/>
        </w:rPr>
        <w:instrText xml:space="preserve"> HYPERLINK "http://www.planalto.gov.br/ccivil_03/_ato2019-2022/2021/lei/L14133.htm" \l "art92§1"</w:instrText>
      </w:r>
      <w:r>
        <w:rPr>
          <w:rStyle w:val="LinkdaInternet"/>
          <w:sz w:val="22"/>
          <w:szCs w:val="22"/>
          <w:color w:val="auto"/>
        </w:rPr>
        <w:fldChar w:fldCharType="separate"/>
      </w:r>
      <w:r>
        <w:rPr>
          <w:rStyle w:val="LinkdaInternet"/>
          <w:color w:val="auto"/>
          <w:sz w:val="22"/>
          <w:szCs w:val="22"/>
        </w:rPr>
        <w:t>art. 92, §1º, da Lei nº 14.133/21</w:t>
      </w:r>
      <w:r>
        <w:rPr>
          <w:rStyle w:val="LinkdaInternet"/>
          <w:sz w:val="22"/>
          <w:szCs w:val="22"/>
          <w:color w:val="auto"/>
        </w:rPr>
        <w:fldChar w:fldCharType="end"/>
      </w:r>
      <w:r>
        <w:rPr>
          <w:color w:val="auto"/>
          <w:sz w:val="22"/>
          <w:szCs w:val="22"/>
        </w:rPr>
        <w:t>.</w:t>
      </w:r>
    </w:p>
    <w:p>
      <w:pPr>
        <w:pStyle w:val="Nivel2"/>
        <w:numPr>
          <w:ilvl w:val="0"/>
          <w:numId w:val="0"/>
        </w:numPr>
        <w:tabs>
          <w:tab w:val="clear" w:pos="720"/>
          <w:tab w:val="left" w:pos="0" w:leader="none"/>
          <w:tab w:val="left" w:pos="851" w:leader="none"/>
        </w:tabs>
        <w:spacing w:lineRule="auto" w:line="240" w:before="120" w:after="288"/>
        <w:ind w:left="0" w:hanging="0"/>
        <w:jc w:val="both"/>
        <w:rPr>
          <w:rFonts w:ascii="Times New Roman" w:hAnsi="Times New Roman"/>
          <w:sz w:val="22"/>
          <w:szCs w:val="22"/>
        </w:rPr>
      </w:pPr>
      <w:r>
        <w:rPr>
          <w:iCs/>
          <w:color w:val="3465A4"/>
          <w:sz w:val="22"/>
          <w:szCs w:val="22"/>
        </w:rPr>
        <w:t>[Local], [dia] de [mês] de [ano].</w:t>
      </w:r>
    </w:p>
    <w:p>
      <w:pPr>
        <w:pStyle w:val="Normal"/>
        <w:tabs>
          <w:tab w:val="clear" w:pos="720"/>
          <w:tab w:val="left" w:pos="0" w:leader="none"/>
          <w:tab w:val="left" w:pos="851" w:leader="none"/>
        </w:tabs>
        <w:spacing w:lineRule="auto" w:line="240" w:before="120" w:after="288"/>
        <w:jc w:val="both"/>
        <w:rPr>
          <w:rFonts w:ascii="Times New Roman" w:hAnsi="Times New Roman"/>
          <w:sz w:val="22"/>
          <w:szCs w:val="22"/>
        </w:rPr>
      </w:pPr>
      <w:r>
        <w:rPr>
          <w:bCs/>
          <w:sz w:val="22"/>
          <w:szCs w:val="22"/>
        </w:rPr>
        <w:t>_________________________</w:t>
      </w:r>
    </w:p>
    <w:p>
      <w:pPr>
        <w:pStyle w:val="Normal"/>
        <w:tabs>
          <w:tab w:val="clear" w:pos="720"/>
          <w:tab w:val="left" w:pos="0" w:leader="none"/>
          <w:tab w:val="left" w:pos="851" w:leader="none"/>
        </w:tabs>
        <w:spacing w:lineRule="auto" w:line="240" w:before="120" w:after="288"/>
        <w:jc w:val="both"/>
        <w:rPr>
          <w:rFonts w:ascii="Times New Roman" w:hAnsi="Times New Roman"/>
          <w:sz w:val="22"/>
          <w:szCs w:val="22"/>
        </w:rPr>
      </w:pPr>
      <w:r>
        <w:rPr>
          <w:bCs/>
          <w:sz w:val="22"/>
          <w:szCs w:val="22"/>
        </w:rPr>
        <w:t>Representante legal do CONTRATANTE</w:t>
      </w:r>
    </w:p>
    <w:p>
      <w:pPr>
        <w:pStyle w:val="Normal"/>
        <w:tabs>
          <w:tab w:val="clear" w:pos="720"/>
          <w:tab w:val="left" w:pos="0" w:leader="none"/>
          <w:tab w:val="left" w:pos="851" w:leader="none"/>
        </w:tabs>
        <w:spacing w:lineRule="auto" w:line="240" w:before="120" w:after="288"/>
        <w:jc w:val="both"/>
        <w:rPr>
          <w:rFonts w:ascii="Times New Roman" w:hAnsi="Times New Roman"/>
          <w:sz w:val="22"/>
          <w:szCs w:val="22"/>
        </w:rPr>
      </w:pPr>
      <w:r>
        <w:rPr>
          <w:sz w:val="22"/>
          <w:szCs w:val="22"/>
        </w:rPr>
        <w:t>_________________________</w:t>
      </w:r>
    </w:p>
    <w:p>
      <w:pPr>
        <w:pStyle w:val="Normal"/>
        <w:tabs>
          <w:tab w:val="clear" w:pos="720"/>
          <w:tab w:val="left" w:pos="0" w:leader="none"/>
          <w:tab w:val="left" w:pos="851" w:leader="none"/>
        </w:tabs>
        <w:spacing w:lineRule="auto" w:line="240" w:before="120" w:after="288"/>
        <w:jc w:val="both"/>
        <w:rPr>
          <w:rFonts w:ascii="Times New Roman" w:hAnsi="Times New Roman"/>
          <w:sz w:val="22"/>
          <w:szCs w:val="22"/>
        </w:rPr>
      </w:pPr>
      <w:r>
        <w:rPr>
          <w:bCs/>
          <w:sz w:val="22"/>
          <w:szCs w:val="22"/>
        </w:rPr>
        <w:t>Representante</w:t>
      </w:r>
      <w:r>
        <w:rPr>
          <w:sz w:val="22"/>
          <w:szCs w:val="22"/>
        </w:rPr>
        <w:t xml:space="preserve"> legal do CONTRATADO</w:t>
      </w:r>
    </w:p>
    <w:p>
      <w:pPr>
        <w:pStyle w:val="Normal"/>
        <w:tabs>
          <w:tab w:val="clear" w:pos="720"/>
          <w:tab w:val="left" w:pos="0" w:leader="none"/>
          <w:tab w:val="left" w:pos="851" w:leader="none"/>
        </w:tabs>
        <w:spacing w:lineRule="auto" w:line="240" w:before="120" w:after="288"/>
        <w:jc w:val="both"/>
        <w:rPr>
          <w:rFonts w:ascii="Times New Roman" w:hAnsi="Times New Roman"/>
          <w:sz w:val="22"/>
          <w:szCs w:val="22"/>
        </w:rPr>
      </w:pPr>
      <w:r>
        <w:rPr>
          <w:iCs/>
          <w:sz w:val="22"/>
          <w:szCs w:val="22"/>
        </w:rPr>
        <w:t>TESTEMUNHAS:</w:t>
      </w:r>
    </w:p>
    <w:p>
      <w:pPr>
        <w:pStyle w:val="Normal"/>
        <w:tabs>
          <w:tab w:val="clear" w:pos="720"/>
          <w:tab w:val="left" w:pos="0" w:leader="none"/>
          <w:tab w:val="left" w:pos="851" w:leader="none"/>
        </w:tabs>
        <w:spacing w:lineRule="auto" w:line="240" w:before="120" w:after="288"/>
        <w:jc w:val="both"/>
        <w:rPr>
          <w:rFonts w:ascii="Times New Roman" w:hAnsi="Times New Roman"/>
          <w:sz w:val="22"/>
          <w:szCs w:val="22"/>
        </w:rPr>
      </w:pPr>
      <w:r>
        <w:rPr>
          <w:iCs/>
          <w:sz w:val="22"/>
          <w:szCs w:val="22"/>
        </w:rPr>
        <w:t>1-</w:t>
      </w:r>
    </w:p>
    <w:p>
      <w:pPr>
        <w:pStyle w:val="Normal"/>
        <w:tabs>
          <w:tab w:val="clear" w:pos="720"/>
          <w:tab w:val="left" w:pos="0" w:leader="none"/>
          <w:tab w:val="left" w:pos="851" w:leader="none"/>
        </w:tabs>
        <w:spacing w:lineRule="auto" w:line="240" w:before="120" w:after="288"/>
        <w:jc w:val="both"/>
        <w:rPr/>
      </w:pPr>
      <w:r>
        <w:rPr>
          <w:rStyle w:val="Strong"/>
          <w:rFonts w:eastAsia="Times New Roman" w:cs="Arial"/>
          <w:b/>
          <w:bCs/>
          <w:i w:val="false"/>
          <w:iCs/>
          <w:color w:val="000000"/>
          <w:spacing w:val="0"/>
          <w:kern w:val="0"/>
          <w:sz w:val="22"/>
          <w:szCs w:val="22"/>
          <w:shd w:fill="auto" w:val="clear"/>
          <w:lang w:val="pt-BR" w:eastAsia="en-US" w:bidi="ar-SA"/>
        </w:rPr>
        <w:t xml:space="preserve">2- </w:t>
      </w:r>
    </w:p>
    <w:p>
      <w:pPr>
        <w:pStyle w:val="Normal"/>
        <w:tabs>
          <w:tab w:val="clear" w:pos="720"/>
          <w:tab w:val="left" w:pos="0" w:leader="none"/>
          <w:tab w:val="left" w:pos="851" w:leader="none"/>
        </w:tabs>
        <w:spacing w:lineRule="auto" w:line="240" w:before="120" w:after="288"/>
        <w:jc w:val="both"/>
        <w:rPr>
          <w:rStyle w:val="Strong"/>
          <w:rFonts w:eastAsia="Times New Roman" w:cs="Arial"/>
          <w:b/>
          <w:b/>
          <w:bCs/>
          <w:i w:val="false"/>
          <w:i w:val="false"/>
          <w:iCs/>
          <w:color w:val="000000"/>
          <w:spacing w:val="0"/>
          <w:kern w:val="0"/>
          <w:sz w:val="22"/>
          <w:szCs w:val="22"/>
          <w:shd w:fill="auto" w:val="clear"/>
          <w:lang w:val="pt-BR" w:eastAsia="en-US" w:bidi="ar-SA"/>
        </w:rPr>
      </w:pPr>
      <w:r>
        <w:rPr>
          <w:rFonts w:eastAsia="Times New Roman" w:cs="Arial"/>
          <w:b/>
          <w:bCs/>
          <w:i w:val="false"/>
          <w:iCs/>
          <w:color w:val="000000"/>
          <w:spacing w:val="0"/>
          <w:kern w:val="0"/>
          <w:sz w:val="22"/>
          <w:szCs w:val="22"/>
          <w:shd w:fill="auto" w:val="clear"/>
          <w:lang w:val="pt-BR" w:eastAsia="en-US" w:bidi="ar-SA"/>
        </w:rPr>
      </w:r>
    </w:p>
    <w:p>
      <w:pPr>
        <w:pStyle w:val="Normal"/>
        <w:tabs>
          <w:tab w:val="clear" w:pos="720"/>
          <w:tab w:val="left" w:pos="0" w:leader="none"/>
          <w:tab w:val="left" w:pos="851" w:leader="none"/>
        </w:tabs>
        <w:spacing w:lineRule="auto" w:line="240" w:before="120" w:after="288"/>
        <w:jc w:val="both"/>
        <w:rPr>
          <w:rStyle w:val="Strong"/>
          <w:rFonts w:eastAsia="Times New Roman" w:cs="Arial"/>
          <w:b/>
          <w:b/>
          <w:bCs/>
          <w:i w:val="false"/>
          <w:i w:val="false"/>
          <w:iCs/>
          <w:color w:val="000000"/>
          <w:spacing w:val="0"/>
          <w:kern w:val="0"/>
          <w:sz w:val="22"/>
          <w:szCs w:val="22"/>
          <w:shd w:fill="auto" w:val="clear"/>
          <w:lang w:val="pt-BR" w:eastAsia="en-US" w:bidi="ar-SA"/>
        </w:rPr>
      </w:pPr>
      <w:r>
        <w:rPr>
          <w:rFonts w:eastAsia="Times New Roman" w:cs="Arial"/>
          <w:b/>
          <w:bCs/>
          <w:i w:val="false"/>
          <w:iCs/>
          <w:color w:val="000000"/>
          <w:spacing w:val="0"/>
          <w:kern w:val="0"/>
          <w:sz w:val="22"/>
          <w:szCs w:val="22"/>
          <w:shd w:fill="auto" w:val="clear"/>
          <w:lang w:val="pt-BR" w:eastAsia="en-US" w:bidi="ar-SA"/>
        </w:rPr>
      </w:r>
    </w:p>
    <w:p>
      <w:pPr>
        <w:pStyle w:val="Normal"/>
        <w:tabs>
          <w:tab w:val="clear" w:pos="720"/>
          <w:tab w:val="left" w:pos="0" w:leader="none"/>
          <w:tab w:val="left" w:pos="851" w:leader="none"/>
        </w:tabs>
        <w:spacing w:lineRule="auto" w:line="240" w:before="120" w:after="288"/>
        <w:jc w:val="both"/>
        <w:rPr>
          <w:rStyle w:val="Strong"/>
          <w:rFonts w:eastAsia="Times New Roman" w:cs="Arial"/>
          <w:b/>
          <w:b/>
          <w:bCs/>
          <w:i w:val="false"/>
          <w:i w:val="false"/>
          <w:iCs/>
          <w:color w:val="000000"/>
          <w:spacing w:val="0"/>
          <w:kern w:val="0"/>
          <w:sz w:val="22"/>
          <w:szCs w:val="22"/>
          <w:shd w:fill="auto" w:val="clear"/>
          <w:lang w:val="pt-BR" w:eastAsia="en-US" w:bidi="ar-SA"/>
        </w:rPr>
      </w:pPr>
      <w:r>
        <w:rPr>
          <w:rFonts w:eastAsia="Times New Roman" w:cs="Arial"/>
          <w:b/>
          <w:bCs/>
          <w:i w:val="false"/>
          <w:iCs/>
          <w:color w:val="000000"/>
          <w:spacing w:val="0"/>
          <w:kern w:val="0"/>
          <w:sz w:val="22"/>
          <w:szCs w:val="22"/>
          <w:shd w:fill="auto" w:val="clear"/>
          <w:lang w:val="pt-BR" w:eastAsia="en-US" w:bidi="ar-SA"/>
        </w:rPr>
      </w:r>
    </w:p>
    <w:p>
      <w:pPr>
        <w:pStyle w:val="Normal"/>
        <w:tabs>
          <w:tab w:val="clear" w:pos="720"/>
          <w:tab w:val="left" w:pos="0" w:leader="none"/>
          <w:tab w:val="left" w:pos="851" w:leader="none"/>
        </w:tabs>
        <w:spacing w:lineRule="auto" w:line="240" w:before="120" w:after="288"/>
        <w:jc w:val="both"/>
        <w:rPr>
          <w:rStyle w:val="Strong"/>
          <w:rFonts w:eastAsia="Times New Roman" w:cs="Arial"/>
          <w:b/>
          <w:b/>
          <w:bCs/>
          <w:i w:val="false"/>
          <w:i w:val="false"/>
          <w:iCs/>
          <w:color w:val="000000"/>
          <w:spacing w:val="0"/>
          <w:kern w:val="0"/>
          <w:sz w:val="22"/>
          <w:szCs w:val="22"/>
          <w:shd w:fill="auto" w:val="clear"/>
          <w:lang w:val="pt-BR" w:eastAsia="en-US" w:bidi="ar-SA"/>
        </w:rPr>
      </w:pPr>
      <w:r>
        <w:rPr>
          <w:rFonts w:eastAsia="Times New Roman" w:cs="Arial"/>
          <w:b/>
          <w:bCs/>
          <w:i w:val="false"/>
          <w:iCs/>
          <w:color w:val="000000"/>
          <w:spacing w:val="0"/>
          <w:kern w:val="0"/>
          <w:sz w:val="22"/>
          <w:szCs w:val="22"/>
          <w:shd w:fill="auto" w:val="clear"/>
          <w:lang w:val="pt-BR" w:eastAsia="en-US" w:bidi="ar-SA"/>
        </w:rPr>
      </w:r>
    </w:p>
    <w:p>
      <w:pPr>
        <w:pStyle w:val="Normal"/>
        <w:tabs>
          <w:tab w:val="clear" w:pos="720"/>
          <w:tab w:val="left" w:pos="0" w:leader="none"/>
          <w:tab w:val="left" w:pos="851" w:leader="none"/>
        </w:tabs>
        <w:spacing w:lineRule="auto" w:line="240" w:before="120" w:after="288"/>
        <w:jc w:val="center"/>
        <w:rPr/>
      </w:pPr>
      <w:r>
        <w:rPr>
          <w:rStyle w:val="Strong"/>
          <w:rFonts w:eastAsia="Times New Roman" w:cs="Arial"/>
          <w:b/>
          <w:bCs/>
          <w:i w:val="false"/>
          <w:iCs/>
          <w:color w:val="000000"/>
          <w:spacing w:val="0"/>
          <w:kern w:val="0"/>
          <w:sz w:val="22"/>
          <w:szCs w:val="22"/>
          <w:shd w:fill="auto" w:val="clear"/>
          <w:lang w:val="pt-BR" w:eastAsia="en-US" w:bidi="ar-SA"/>
        </w:rPr>
        <w:t>ANEXO XI</w:t>
      </w:r>
    </w:p>
    <w:p>
      <w:pPr>
        <w:pStyle w:val="Heading11"/>
        <w:tabs>
          <w:tab w:val="clear" w:pos="720"/>
          <w:tab w:val="left" w:pos="1070" w:leader="none"/>
        </w:tabs>
        <w:jc w:val="center"/>
        <w:rPr>
          <w:rFonts w:ascii="Times New Roman" w:hAnsi="Times New Roman"/>
          <w:sz w:val="22"/>
          <w:szCs w:val="22"/>
        </w:rPr>
      </w:pPr>
      <w:r>
        <w:rPr>
          <w:rFonts w:cs="Calibri" w:cstheme="minorHAnsi"/>
          <w:sz w:val="22"/>
          <w:szCs w:val="22"/>
        </w:rPr>
        <w:t xml:space="preserve">ANÁLISE DE RISCO </w:t>
      </w:r>
      <w:bookmarkStart w:id="75" w:name="_TOC_250003"/>
      <w:bookmarkEnd w:id="75"/>
      <w:r>
        <w:rPr>
          <w:rFonts w:cs="Calibri" w:cstheme="minorHAnsi"/>
          <w:sz w:val="22"/>
          <w:szCs w:val="22"/>
        </w:rPr>
        <w:t xml:space="preserve"> - RISCOS DO PROCESSO DE CONTRATAÇÃO</w:t>
      </w:r>
    </w:p>
    <w:p>
      <w:pPr>
        <w:pStyle w:val="Heading21"/>
        <w:rPr>
          <w:rFonts w:ascii="Times New Roman" w:hAnsi="Times New Roman" w:cs="Calibri" w:cstheme="minorHAnsi"/>
          <w:sz w:val="22"/>
          <w:szCs w:val="22"/>
        </w:rPr>
      </w:pPr>
      <w:r>
        <w:rPr>
          <w:rFonts w:cs="Calibri" w:cstheme="minorHAnsi"/>
          <w:sz w:val="22"/>
          <w:szCs w:val="22"/>
        </w:rPr>
      </w:r>
    </w:p>
    <w:tbl>
      <w:tblPr>
        <w:tblW w:w="95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468"/>
        <w:gridCol w:w="2"/>
        <w:gridCol w:w="5"/>
        <w:gridCol w:w="39"/>
        <w:gridCol w:w="112"/>
        <w:gridCol w:w="282"/>
        <w:gridCol w:w="1081"/>
        <w:gridCol w:w="6"/>
        <w:gridCol w:w="9"/>
        <w:gridCol w:w="44"/>
        <w:gridCol w:w="18"/>
        <w:gridCol w:w="2297"/>
        <w:gridCol w:w="32"/>
        <w:gridCol w:w="8"/>
        <w:gridCol w:w="26"/>
        <w:gridCol w:w="7"/>
        <w:gridCol w:w="3134"/>
      </w:tblGrid>
      <w:tr>
        <w:trPr/>
        <w:tc>
          <w:tcPr>
            <w:tcW w:w="9570" w:type="dxa"/>
            <w:gridSpan w:val="17"/>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1. Riscos – Fase de Planejamento</w:t>
            </w:r>
          </w:p>
        </w:tc>
      </w:tr>
      <w:tr>
        <w:trPr>
          <w:trHeight w:val="356" w:hRule="atLeast"/>
        </w:trPr>
        <w:tc>
          <w:tcPr>
            <w:tcW w:w="2626" w:type="dxa"/>
            <w:gridSpan w:val="5"/>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ind w:left="494" w:hanging="0"/>
              <w:rPr>
                <w:rFonts w:ascii="Times New Roman" w:hAnsi="Times New Roman"/>
                <w:sz w:val="22"/>
                <w:szCs w:val="22"/>
              </w:rPr>
            </w:pPr>
            <w:r>
              <w:rPr>
                <w:rFonts w:cs="Calibri" w:cstheme="minorHAnsi"/>
                <w:b/>
                <w:sz w:val="22"/>
                <w:szCs w:val="22"/>
              </w:rPr>
              <w:t>Risco 1</w:t>
            </w:r>
          </w:p>
        </w:tc>
        <w:tc>
          <w:tcPr>
            <w:tcW w:w="6944" w:type="dxa"/>
            <w:gridSpan w:val="12"/>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widowControl w:val="false"/>
              <w:rPr>
                <w:rFonts w:ascii="Times New Roman" w:hAnsi="Times New Roman"/>
                <w:b w:val="false"/>
                <w:b w:val="false"/>
                <w:bCs w:val="false"/>
                <w:color w:val="3465A4"/>
                <w:sz w:val="22"/>
                <w:szCs w:val="22"/>
              </w:rPr>
            </w:pPr>
            <w:r>
              <w:rPr>
                <w:rFonts w:cs="Calibri" w:cstheme="minorHAnsi"/>
                <w:b w:val="false"/>
                <w:bCs w:val="false"/>
                <w:color w:val="3465A4"/>
                <w:sz w:val="22"/>
                <w:szCs w:val="22"/>
                <w:lang w:val="pt-BR"/>
              </w:rPr>
              <w:t>Nota: descrever os riscos. Ex: Deficiência na definição da demanda</w:t>
            </w:r>
          </w:p>
        </w:tc>
      </w:tr>
      <w:tr>
        <w:trPr>
          <w:trHeight w:val="249" w:hRule="atLeast"/>
        </w:trPr>
        <w:tc>
          <w:tcPr>
            <w:tcW w:w="2626" w:type="dxa"/>
            <w:gridSpan w:val="5"/>
            <w:vMerge w:val="restart"/>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ind w:left="132" w:hanging="0"/>
              <w:rPr>
                <w:rFonts w:ascii="Times New Roman" w:hAnsi="Times New Roman"/>
                <w:sz w:val="22"/>
                <w:szCs w:val="22"/>
              </w:rPr>
            </w:pPr>
            <w:r>
              <w:rPr>
                <w:rFonts w:cs="Calibri" w:cstheme="minorHAnsi"/>
                <w:b/>
                <w:sz w:val="22"/>
                <w:szCs w:val="22"/>
              </w:rPr>
              <w:t>Probabilidade</w:t>
            </w:r>
          </w:p>
        </w:tc>
        <w:tc>
          <w:tcPr>
            <w:tcW w:w="1422" w:type="dxa"/>
            <w:gridSpan w:val="5"/>
            <w:vMerge w:val="restart"/>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widowControl w:val="false"/>
              <w:suppressAutoHyphens w:val="true"/>
              <w:bidi w:val="0"/>
              <w:spacing w:before="0" w:after="0"/>
              <w:ind w:left="57" w:right="0" w:hanging="0"/>
              <w:jc w:val="left"/>
              <w:rPr>
                <w:rFonts w:ascii="Times New Roman" w:hAnsi="Times New Roman"/>
                <w:color w:val="3465A4"/>
                <w:sz w:val="22"/>
                <w:szCs w:val="22"/>
              </w:rPr>
            </w:pPr>
            <w:r>
              <w:rPr>
                <w:rFonts w:cs="Calibri" w:cstheme="minorHAnsi"/>
                <w:color w:val="3465A4"/>
                <w:sz w:val="22"/>
                <w:szCs w:val="22"/>
              </w:rPr>
              <w:t>Nota: Descrever o grau do risco Ex. Média</w:t>
            </w:r>
          </w:p>
        </w:tc>
        <w:tc>
          <w:tcPr>
            <w:tcW w:w="5522" w:type="dxa"/>
            <w:gridSpan w:val="7"/>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ind w:left="2023" w:right="2020" w:hanging="0"/>
              <w:rPr>
                <w:rFonts w:ascii="Times New Roman" w:hAnsi="Times New Roman"/>
                <w:sz w:val="22"/>
                <w:szCs w:val="22"/>
              </w:rPr>
            </w:pPr>
            <w:r>
              <w:rPr>
                <w:rFonts w:cs="Calibri" w:cstheme="minorHAnsi"/>
                <w:b/>
                <w:sz w:val="22"/>
                <w:szCs w:val="22"/>
              </w:rPr>
              <w:t>Dano potencial</w:t>
            </w:r>
          </w:p>
        </w:tc>
      </w:tr>
      <w:tr>
        <w:trPr>
          <w:trHeight w:val="338" w:hRule="atLeast"/>
        </w:trPr>
        <w:tc>
          <w:tcPr>
            <w:tcW w:w="2626" w:type="dxa"/>
            <w:gridSpan w:val="5"/>
            <w:vMerge w:val="continue"/>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1422" w:type="dxa"/>
            <w:gridSpan w:val="5"/>
            <w:vMerge w:val="continue"/>
            <w:tcBorders>
              <w:top w:val="single" w:sz="2" w:space="0" w:color="000001"/>
              <w:left w:val="single" w:sz="2" w:space="0" w:color="000001"/>
              <w:bottom w:val="single" w:sz="2" w:space="0" w:color="000001"/>
              <w:right w:val="single" w:sz="2" w:space="0" w:color="000001"/>
            </w:tcBorders>
            <w:shd w:color="auto" w:fill="auto" w:val="clear"/>
            <w:vAlign w:val="cente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5522" w:type="dxa"/>
            <w:gridSpan w:val="7"/>
            <w:tcBorders>
              <w:top w:val="single" w:sz="2" w:space="0" w:color="000001"/>
              <w:left w:val="single" w:sz="2" w:space="0" w:color="000001"/>
              <w:bottom w:val="single" w:sz="2" w:space="0" w:color="000001"/>
              <w:right w:val="single" w:sz="2" w:space="0" w:color="000001"/>
            </w:tcBorders>
            <w:shd w:color="auto" w:fill="auto" w:val="clear"/>
            <w:vAlign w:val="center"/>
          </w:tcPr>
          <w:p>
            <w:pPr>
              <w:pStyle w:val="Western"/>
              <w:widowControl w:val="false"/>
              <w:spacing w:lineRule="auto" w:line="276" w:beforeAutospacing="0" w:before="0" w:after="0"/>
              <w:rPr>
                <w:rFonts w:ascii="Times New Roman" w:hAnsi="Times New Roman"/>
                <w:color w:val="3465A4"/>
                <w:sz w:val="22"/>
                <w:szCs w:val="22"/>
              </w:rPr>
            </w:pPr>
            <w:r>
              <w:rPr>
                <w:rFonts w:cs="Calibri" w:cstheme="minorHAnsi"/>
                <w:color w:val="3465A4"/>
                <w:sz w:val="22"/>
                <w:szCs w:val="22"/>
              </w:rPr>
              <w:t>Nota: descrever o possível dano. Ex.Superdimensionamento ou subdimensionamento da demanda</w:t>
            </w:r>
          </w:p>
        </w:tc>
      </w:tr>
      <w:tr>
        <w:trPr>
          <w:trHeight w:val="318" w:hRule="atLeast"/>
        </w:trPr>
        <w:tc>
          <w:tcPr>
            <w:tcW w:w="6429" w:type="dxa"/>
            <w:gridSpan w:val="15"/>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rPr>
                <w:rFonts w:ascii="Times New Roman" w:hAnsi="Times New Roman"/>
                <w:sz w:val="22"/>
                <w:szCs w:val="22"/>
              </w:rPr>
            </w:pPr>
            <w:r>
              <w:rPr>
                <w:rFonts w:cs="Calibri" w:cstheme="minorHAnsi"/>
                <w:b/>
                <w:sz w:val="22"/>
                <w:szCs w:val="22"/>
              </w:rPr>
              <w:t>Ação Preventiva</w:t>
            </w:r>
          </w:p>
        </w:tc>
        <w:tc>
          <w:tcPr>
            <w:tcW w:w="3141" w:type="dxa"/>
            <w:gridSpan w:val="2"/>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ind w:left="103" w:right="204" w:hanging="0"/>
              <w:rPr>
                <w:rFonts w:ascii="Times New Roman" w:hAnsi="Times New Roman"/>
                <w:sz w:val="22"/>
                <w:szCs w:val="22"/>
              </w:rPr>
            </w:pPr>
            <w:r>
              <w:rPr>
                <w:rFonts w:cs="Calibri" w:cstheme="minorHAnsi"/>
                <w:b/>
                <w:sz w:val="22"/>
                <w:szCs w:val="22"/>
              </w:rPr>
              <w:t>Responsável</w:t>
            </w:r>
          </w:p>
        </w:tc>
      </w:tr>
      <w:tr>
        <w:trPr>
          <w:trHeight w:val="524" w:hRule="atLeast"/>
        </w:trPr>
        <w:tc>
          <w:tcPr>
            <w:tcW w:w="6429" w:type="dxa"/>
            <w:gridSpan w:val="15"/>
            <w:tcBorders>
              <w:top w:val="single" w:sz="2" w:space="0" w:color="000001"/>
              <w:left w:val="single" w:sz="2" w:space="0" w:color="000001"/>
              <w:bottom w:val="single" w:sz="2" w:space="0" w:color="000001"/>
              <w:right w:val="single" w:sz="2" w:space="0" w:color="000001"/>
            </w:tcBorders>
            <w:shd w:color="auto" w:fill="auto" w:val="clear"/>
            <w:vAlign w:val="center"/>
          </w:tcPr>
          <w:p>
            <w:pPr>
              <w:pStyle w:val="Western"/>
              <w:widowControl w:val="false"/>
              <w:spacing w:lineRule="auto" w:line="276" w:beforeAutospacing="0" w:before="0" w:after="0"/>
              <w:rPr>
                <w:rFonts w:ascii="Times New Roman" w:hAnsi="Times New Roman"/>
                <w:color w:val="3465A4"/>
                <w:sz w:val="22"/>
                <w:szCs w:val="22"/>
              </w:rPr>
            </w:pPr>
            <w:r>
              <w:rPr>
                <w:rFonts w:cs="Calibri" w:cstheme="minorHAnsi"/>
                <w:color w:val="3465A4"/>
                <w:sz w:val="22"/>
                <w:szCs w:val="22"/>
              </w:rPr>
              <w:t>Nota: Apontar a medida preventiva. Ex. Qualificação da equipe de planejamento; conhecimento do escopo.</w:t>
            </w:r>
          </w:p>
        </w:tc>
        <w:tc>
          <w:tcPr>
            <w:tcW w:w="3141" w:type="dxa"/>
            <w:gridSpan w:val="2"/>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Comissão de compras/aquisição</w:t>
            </w:r>
          </w:p>
        </w:tc>
      </w:tr>
      <w:tr>
        <w:trPr>
          <w:trHeight w:val="264" w:hRule="atLeast"/>
        </w:trPr>
        <w:tc>
          <w:tcPr>
            <w:tcW w:w="6429" w:type="dxa"/>
            <w:gridSpan w:val="15"/>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rPr>
                <w:rFonts w:ascii="Times New Roman" w:hAnsi="Times New Roman"/>
                <w:sz w:val="22"/>
                <w:szCs w:val="22"/>
              </w:rPr>
            </w:pPr>
            <w:r>
              <w:rPr>
                <w:rFonts w:cs="Calibri" w:cstheme="minorHAnsi"/>
                <w:b/>
                <w:sz w:val="22"/>
                <w:szCs w:val="22"/>
              </w:rPr>
              <w:t>Ação de Contingência</w:t>
            </w:r>
          </w:p>
        </w:tc>
        <w:tc>
          <w:tcPr>
            <w:tcW w:w="3141" w:type="dxa"/>
            <w:gridSpan w:val="2"/>
            <w:tcBorders>
              <w:top w:val="single" w:sz="2" w:space="0" w:color="000001"/>
              <w:left w:val="single" w:sz="2" w:space="0" w:color="000001"/>
              <w:bottom w:val="single" w:sz="2" w:space="0" w:color="000001"/>
              <w:right w:val="single" w:sz="2" w:space="0" w:color="000001"/>
            </w:tcBorders>
            <w:shd w:color="auto" w:fill="CCCCCC" w:val="clear"/>
            <w:vAlign w:val="center"/>
          </w:tcPr>
          <w:p>
            <w:pPr>
              <w:pStyle w:val="TableParagraph"/>
              <w:widowControl w:val="false"/>
              <w:ind w:left="103" w:right="204" w:hanging="0"/>
              <w:rPr>
                <w:rFonts w:ascii="Times New Roman" w:hAnsi="Times New Roman"/>
                <w:sz w:val="22"/>
                <w:szCs w:val="22"/>
              </w:rPr>
            </w:pPr>
            <w:r>
              <w:rPr>
                <w:rFonts w:cs="Calibri" w:cstheme="minorHAnsi"/>
                <w:b/>
                <w:sz w:val="22"/>
                <w:szCs w:val="22"/>
              </w:rPr>
              <w:t>Responsável</w:t>
            </w:r>
          </w:p>
        </w:tc>
      </w:tr>
      <w:tr>
        <w:trPr>
          <w:trHeight w:val="312" w:hRule="atLeast"/>
        </w:trPr>
        <w:tc>
          <w:tcPr>
            <w:tcW w:w="6429" w:type="dxa"/>
            <w:gridSpan w:val="15"/>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widowControl w:val="false"/>
              <w:ind w:left="70" w:hanging="0"/>
              <w:rPr>
                <w:rFonts w:ascii="Times New Roman" w:hAnsi="Times New Roman"/>
                <w:color w:val="3465A4"/>
                <w:sz w:val="22"/>
                <w:szCs w:val="22"/>
              </w:rPr>
            </w:pPr>
            <w:r>
              <w:rPr>
                <w:rFonts w:cs="Calibri" w:cstheme="minorHAnsi"/>
                <w:color w:val="3465A4"/>
                <w:sz w:val="22"/>
                <w:szCs w:val="22"/>
              </w:rPr>
              <w:t>Nota:  a medida imediata. Ex Restabelecimento da demanda</w:t>
            </w:r>
          </w:p>
        </w:tc>
        <w:tc>
          <w:tcPr>
            <w:tcW w:w="3141" w:type="dxa"/>
            <w:gridSpan w:val="2"/>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widowControl w:val="false"/>
              <w:ind w:left="412" w:right="295" w:hanging="90"/>
              <w:jc w:val="center"/>
              <w:rPr>
                <w:rFonts w:ascii="Times New Roman" w:hAnsi="Times New Roman"/>
                <w:color w:val="3465A4"/>
                <w:sz w:val="22"/>
                <w:szCs w:val="22"/>
              </w:rPr>
            </w:pPr>
            <w:r>
              <w:rPr>
                <w:rFonts w:cs="Calibri" w:cstheme="minorHAnsi"/>
                <w:color w:val="3465A4"/>
                <w:sz w:val="22"/>
                <w:szCs w:val="22"/>
                <w:lang w:val="pt-BR"/>
              </w:rPr>
              <w:t>Equipe de Planejamento da Contratação</w:t>
            </w:r>
          </w:p>
        </w:tc>
      </w:tr>
      <w:tr>
        <w:trPr>
          <w:trHeight w:val="356" w:hRule="atLeast"/>
        </w:trPr>
        <w:tc>
          <w:tcPr>
            <w:tcW w:w="2514" w:type="dxa"/>
            <w:gridSpan w:val="4"/>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494" w:hanging="0"/>
              <w:rPr>
                <w:rFonts w:ascii="Times New Roman" w:hAnsi="Times New Roman"/>
                <w:sz w:val="22"/>
                <w:szCs w:val="22"/>
              </w:rPr>
            </w:pPr>
            <w:r>
              <w:rPr>
                <w:rFonts w:cs="Calibri" w:cstheme="minorHAnsi"/>
                <w:b/>
                <w:sz w:val="22"/>
                <w:szCs w:val="22"/>
              </w:rPr>
              <w:t>Risco 2</w:t>
            </w:r>
          </w:p>
        </w:tc>
        <w:tc>
          <w:tcPr>
            <w:tcW w:w="7056" w:type="dxa"/>
            <w:gridSpan w:val="13"/>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hanging="0"/>
              <w:jc w:val="center"/>
              <w:rPr>
                <w:rFonts w:ascii="Times New Roman" w:hAnsi="Times New Roman"/>
                <w:sz w:val="22"/>
                <w:szCs w:val="22"/>
              </w:rPr>
            </w:pPr>
            <w:r>
              <w:rPr>
                <w:rFonts w:cs="Calibri" w:cstheme="minorHAnsi"/>
                <w:b w:val="false"/>
                <w:bCs w:val="false"/>
                <w:color w:val="3465A4"/>
                <w:sz w:val="22"/>
                <w:szCs w:val="22"/>
                <w:lang w:val="pt-BR"/>
              </w:rPr>
              <w:t>Nota: descrever os riscos. Ex:</w:t>
            </w:r>
            <w:r>
              <w:rPr>
                <w:rFonts w:cs="Calibri" w:cstheme="minorHAnsi"/>
                <w:color w:val="3465A4"/>
                <w:sz w:val="22"/>
                <w:szCs w:val="22"/>
                <w:lang w:val="pt-BR"/>
              </w:rPr>
              <w:t>Não aprovação do Estudo Técnico ou do Termo de Referência.</w:t>
            </w:r>
          </w:p>
        </w:tc>
      </w:tr>
      <w:tr>
        <w:trPr>
          <w:trHeight w:val="249" w:hRule="atLeast"/>
        </w:trPr>
        <w:tc>
          <w:tcPr>
            <w:tcW w:w="2514" w:type="dxa"/>
            <w:gridSpan w:val="4"/>
            <w:vMerge w:val="restart"/>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suppressAutoHyphens w:val="true"/>
              <w:bidi w:val="0"/>
              <w:spacing w:before="0" w:after="0"/>
              <w:ind w:left="0" w:right="0" w:hanging="57"/>
              <w:jc w:val="left"/>
              <w:rPr>
                <w:rFonts w:ascii="Times New Roman" w:hAnsi="Times New Roman" w:cs="Calibri" w:cstheme="minorHAnsi"/>
                <w:b/>
                <w:b/>
                <w:sz w:val="22"/>
                <w:szCs w:val="22"/>
                <w:lang w:val="pt-BR"/>
              </w:rPr>
            </w:pPr>
            <w:r>
              <w:rPr>
                <w:rFonts w:cs="Calibri" w:cstheme="minorHAnsi"/>
                <w:b/>
                <w:sz w:val="22"/>
                <w:szCs w:val="22"/>
                <w:lang w:val="pt-BR"/>
              </w:rPr>
            </w:r>
          </w:p>
          <w:p>
            <w:pPr>
              <w:pStyle w:val="TableParagraph"/>
              <w:widowControl w:val="false"/>
              <w:suppressAutoHyphens w:val="true"/>
              <w:bidi w:val="0"/>
              <w:spacing w:before="0" w:after="0"/>
              <w:ind w:left="-113" w:right="0" w:firstLine="170"/>
              <w:jc w:val="left"/>
              <w:rPr>
                <w:rFonts w:ascii="Times New Roman" w:hAnsi="Times New Roman"/>
                <w:sz w:val="22"/>
                <w:szCs w:val="22"/>
              </w:rPr>
            </w:pPr>
            <w:r>
              <w:rPr>
                <w:rFonts w:cs="Calibri" w:cstheme="minorHAnsi"/>
                <w:b/>
                <w:sz w:val="22"/>
                <w:szCs w:val="22"/>
              </w:rPr>
              <w:t>Probabilidade:</w:t>
            </w:r>
          </w:p>
        </w:tc>
        <w:tc>
          <w:tcPr>
            <w:tcW w:w="1552" w:type="dxa"/>
            <w:gridSpan w:val="7"/>
            <w:vMerge w:val="restart"/>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98" w:hanging="0"/>
              <w:rPr>
                <w:rFonts w:ascii="Times New Roman" w:hAnsi="Times New Roman"/>
                <w:color w:val="3465A4"/>
                <w:sz w:val="22"/>
                <w:szCs w:val="22"/>
              </w:rPr>
            </w:pPr>
            <w:r>
              <w:rPr>
                <w:color w:val="3465A4"/>
                <w:sz w:val="22"/>
                <w:szCs w:val="22"/>
              </w:rPr>
              <w:t>Nota: Descrever o grau do risco Ex.</w:t>
            </w:r>
          </w:p>
          <w:p>
            <w:pPr>
              <w:pStyle w:val="TableParagraph"/>
              <w:widowControl w:val="false"/>
              <w:ind w:left="98" w:hanging="0"/>
              <w:rPr>
                <w:rFonts w:ascii="Times New Roman" w:hAnsi="Times New Roman"/>
                <w:color w:val="3465A4"/>
                <w:sz w:val="22"/>
                <w:szCs w:val="22"/>
              </w:rPr>
            </w:pPr>
            <w:r>
              <w:rPr>
                <w:rFonts w:cs="Calibri" w:cstheme="minorHAnsi"/>
                <w:color w:val="3465A4"/>
                <w:sz w:val="22"/>
                <w:szCs w:val="22"/>
              </w:rPr>
              <w:t>Baixa</w:t>
            </w:r>
          </w:p>
        </w:tc>
        <w:tc>
          <w:tcPr>
            <w:tcW w:w="5504" w:type="dxa"/>
            <w:gridSpan w:val="6"/>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2023" w:right="2020" w:hanging="0"/>
              <w:jc w:val="center"/>
              <w:rPr>
                <w:rFonts w:ascii="Times New Roman" w:hAnsi="Times New Roman"/>
                <w:sz w:val="22"/>
                <w:szCs w:val="22"/>
              </w:rPr>
            </w:pPr>
            <w:r>
              <w:rPr>
                <w:rFonts w:cs="Calibri" w:cstheme="minorHAnsi"/>
                <w:b/>
                <w:sz w:val="22"/>
                <w:szCs w:val="22"/>
              </w:rPr>
              <w:t>Dano potencial</w:t>
            </w:r>
          </w:p>
        </w:tc>
      </w:tr>
      <w:tr>
        <w:trPr>
          <w:trHeight w:val="424" w:hRule="atLeast"/>
        </w:trPr>
        <w:tc>
          <w:tcPr>
            <w:tcW w:w="2514" w:type="dxa"/>
            <w:gridSpan w:val="4"/>
            <w:vMerge w:val="continue"/>
            <w:tcBorders>
              <w:top w:val="single" w:sz="2" w:space="0" w:color="000001"/>
              <w:left w:val="single" w:sz="2" w:space="0" w:color="000001"/>
              <w:bottom w:val="single" w:sz="2" w:space="0" w:color="000001"/>
              <w:right w:val="single" w:sz="2" w:space="0" w:color="000001"/>
            </w:tcBorders>
            <w:shd w:color="auto" w:fill="CCCCCC"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1552" w:type="dxa"/>
            <w:gridSpan w:val="7"/>
            <w:vMerge w:val="continue"/>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5504" w:type="dxa"/>
            <w:gridSpan w:val="6"/>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hanging="0"/>
              <w:rPr>
                <w:rFonts w:ascii="Times New Roman" w:hAnsi="Times New Roman"/>
                <w:color w:val="3465A4"/>
                <w:sz w:val="22"/>
                <w:szCs w:val="22"/>
              </w:rPr>
            </w:pPr>
            <w:r>
              <w:rPr>
                <w:rFonts w:cs="Calibri" w:cstheme="minorHAnsi"/>
                <w:color w:val="3465A4"/>
                <w:sz w:val="22"/>
                <w:szCs w:val="22"/>
                <w:lang w:val="pt-BR"/>
              </w:rPr>
              <w:t>Atraso no processo de contratação e, consequentemente, atraso no início da prestação do serviço.</w:t>
            </w:r>
          </w:p>
        </w:tc>
      </w:tr>
      <w:tr>
        <w:trPr>
          <w:trHeight w:val="318"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suppressAutoHyphens w:val="true"/>
              <w:bidi w:val="0"/>
              <w:spacing w:before="0" w:after="0"/>
              <w:ind w:left="2211" w:right="2211" w:hanging="2324"/>
              <w:jc w:val="left"/>
              <w:rPr>
                <w:rFonts w:ascii="Times New Roman" w:hAnsi="Times New Roman"/>
                <w:sz w:val="22"/>
                <w:szCs w:val="22"/>
              </w:rPr>
            </w:pPr>
            <w:r>
              <w:rPr>
                <w:rFonts w:cs="Calibri" w:cstheme="minorHAnsi"/>
                <w:b/>
                <w:sz w:val="22"/>
                <w:szCs w:val="22"/>
              </w:rPr>
              <w:t>Ação Preventiva</w:t>
            </w:r>
          </w:p>
        </w:tc>
        <w:tc>
          <w:tcPr>
            <w:tcW w:w="3134" w:type="dxa"/>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suppressAutoHyphens w:val="true"/>
              <w:bidi w:val="0"/>
              <w:spacing w:before="0" w:after="0"/>
              <w:ind w:left="340" w:right="397" w:hanging="170"/>
              <w:jc w:val="left"/>
              <w:rPr>
                <w:rFonts w:ascii="Times New Roman" w:hAnsi="Times New Roman"/>
                <w:sz w:val="22"/>
                <w:szCs w:val="22"/>
              </w:rPr>
            </w:pPr>
            <w:r>
              <w:rPr>
                <w:rFonts w:cs="Calibri" w:cstheme="minorHAnsi"/>
                <w:b/>
                <w:sz w:val="22"/>
                <w:szCs w:val="22"/>
              </w:rPr>
              <w:t>Responsável</w:t>
            </w:r>
          </w:p>
        </w:tc>
      </w:tr>
      <w:tr>
        <w:trPr>
          <w:trHeight w:val="552"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right="71" w:hanging="0"/>
              <w:jc w:val="both"/>
              <w:rPr>
                <w:rFonts w:ascii="Times New Roman" w:hAnsi="Times New Roman"/>
                <w:color w:val="3465A4"/>
                <w:sz w:val="22"/>
                <w:szCs w:val="22"/>
              </w:rPr>
            </w:pPr>
            <w:r>
              <w:rPr>
                <w:rFonts w:cs="Calibri" w:cstheme="minorHAnsi"/>
                <w:color w:val="3465A4"/>
                <w:sz w:val="22"/>
                <w:szCs w:val="22"/>
                <w:lang w:val="pt-BR"/>
              </w:rPr>
              <w:t xml:space="preserve">Nota: Apontar a medida preventiva. Ex. Instruir o Estudo Técnico e o </w:t>
            </w:r>
            <w:r>
              <w:rPr>
                <w:rFonts w:cs="Calibri" w:cstheme="minorHAnsi"/>
                <w:color w:val="3465A4"/>
                <w:spacing w:val="-4"/>
                <w:sz w:val="22"/>
                <w:szCs w:val="22"/>
                <w:lang w:val="pt-BR"/>
              </w:rPr>
              <w:t xml:space="preserve">Termo </w:t>
            </w:r>
            <w:r>
              <w:rPr>
                <w:rFonts w:cs="Calibri" w:cstheme="minorHAnsi"/>
                <w:color w:val="3465A4"/>
                <w:sz w:val="22"/>
                <w:szCs w:val="22"/>
                <w:lang w:val="pt-BR"/>
              </w:rPr>
              <w:t>de Referência em estrita aderência às disposições dos normativos aplicados à contratação.</w:t>
            </w:r>
          </w:p>
        </w:tc>
        <w:tc>
          <w:tcPr>
            <w:tcW w:w="3134"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Comissão de compras/aquisição</w:t>
            </w:r>
          </w:p>
        </w:tc>
      </w:tr>
      <w:tr>
        <w:trPr>
          <w:trHeight w:val="264"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567" w:hanging="0"/>
              <w:jc w:val="left"/>
              <w:rPr>
                <w:rFonts w:ascii="Times New Roman" w:hAnsi="Times New Roman"/>
                <w:sz w:val="22"/>
                <w:szCs w:val="22"/>
              </w:rPr>
            </w:pPr>
            <w:r>
              <w:rPr>
                <w:rFonts w:cs="Calibri" w:cstheme="minorHAnsi"/>
                <w:b/>
                <w:sz w:val="22"/>
                <w:szCs w:val="22"/>
              </w:rPr>
              <w:t>Ação de Contingência</w:t>
            </w:r>
          </w:p>
        </w:tc>
        <w:tc>
          <w:tcPr>
            <w:tcW w:w="3134" w:type="dxa"/>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312"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hanging="0"/>
              <w:jc w:val="both"/>
              <w:rPr>
                <w:rFonts w:ascii="Times New Roman" w:hAnsi="Times New Roman"/>
                <w:color w:val="3465A4"/>
                <w:sz w:val="22"/>
                <w:szCs w:val="22"/>
              </w:rPr>
            </w:pPr>
            <w:r>
              <w:rPr>
                <w:rFonts w:cs="Calibri" w:cstheme="minorHAnsi"/>
                <w:color w:val="3465A4"/>
                <w:sz w:val="22"/>
                <w:szCs w:val="22"/>
                <w:lang w:val="pt-BR"/>
              </w:rPr>
              <w:t>Nota:  a medida imediata. Ex. Exposição do arcabouço legal em que a contratação de serviços de limpeza deva seguir.</w:t>
            </w:r>
          </w:p>
        </w:tc>
        <w:tc>
          <w:tcPr>
            <w:tcW w:w="3134"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Comissão de compras/aquisição</w:t>
            </w:r>
          </w:p>
        </w:tc>
      </w:tr>
      <w:tr>
        <w:trPr/>
        <w:tc>
          <w:tcPr>
            <w:tcW w:w="9570" w:type="dxa"/>
            <w:gridSpan w:val="17"/>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2 -  Riscos – Fase de Licitação/seleção do Fornecedor</w:t>
            </w:r>
          </w:p>
        </w:tc>
      </w:tr>
      <w:tr>
        <w:trPr>
          <w:trHeight w:val="448" w:hRule="atLeast"/>
        </w:trPr>
        <w:tc>
          <w:tcPr>
            <w:tcW w:w="2470" w:type="dxa"/>
            <w:gridSpan w:val="2"/>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494" w:hanging="0"/>
              <w:rPr>
                <w:rFonts w:ascii="Times New Roman" w:hAnsi="Times New Roman"/>
                <w:sz w:val="22"/>
                <w:szCs w:val="22"/>
              </w:rPr>
            </w:pPr>
            <w:r>
              <w:rPr>
                <w:rFonts w:cs="Calibri" w:cstheme="minorHAnsi"/>
                <w:b/>
                <w:sz w:val="22"/>
                <w:szCs w:val="22"/>
              </w:rPr>
              <w:t>Risco 3</w:t>
            </w:r>
          </w:p>
        </w:tc>
        <w:tc>
          <w:tcPr>
            <w:tcW w:w="7100" w:type="dxa"/>
            <w:gridSpan w:val="15"/>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lineRule="auto" w:line="276" w:beforeAutospacing="0" w:before="0" w:after="0"/>
              <w:jc w:val="center"/>
              <w:rPr>
                <w:rFonts w:ascii="Times New Roman" w:hAnsi="Times New Roman"/>
                <w:sz w:val="22"/>
                <w:szCs w:val="22"/>
              </w:rPr>
            </w:pPr>
            <w:r>
              <w:rPr>
                <w:rFonts w:cs="Calibri" w:cstheme="minorHAnsi"/>
                <w:b w:val="false"/>
                <w:bCs w:val="false"/>
                <w:color w:val="3465A4"/>
                <w:sz w:val="22"/>
                <w:szCs w:val="22"/>
                <w:lang w:val="pt-BR"/>
              </w:rPr>
              <w:t xml:space="preserve">Nota: descrever os riscos. Ex: </w:t>
            </w:r>
            <w:r>
              <w:rPr>
                <w:rFonts w:cs="Calibri" w:cstheme="minorHAnsi"/>
                <w:color w:val="3465A4"/>
                <w:sz w:val="22"/>
                <w:szCs w:val="22"/>
              </w:rPr>
              <w:t>Deficiências do ato convocatório; critérios de julgamento, prazos e sanções, entre outros.</w:t>
            </w:r>
          </w:p>
        </w:tc>
      </w:tr>
      <w:tr>
        <w:trPr>
          <w:trHeight w:val="249" w:hRule="atLeast"/>
        </w:trPr>
        <w:tc>
          <w:tcPr>
            <w:tcW w:w="2470" w:type="dxa"/>
            <w:gridSpan w:val="2"/>
            <w:vMerge w:val="restart"/>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32" w:hanging="0"/>
              <w:rPr>
                <w:rFonts w:ascii="Times New Roman" w:hAnsi="Times New Roman"/>
                <w:sz w:val="22"/>
                <w:szCs w:val="22"/>
              </w:rPr>
            </w:pPr>
            <w:r>
              <w:rPr>
                <w:rFonts w:cs="Calibri" w:cstheme="minorHAnsi"/>
                <w:b/>
                <w:sz w:val="22"/>
                <w:szCs w:val="22"/>
              </w:rPr>
              <w:t>Probabilidade</w:t>
            </w:r>
          </w:p>
        </w:tc>
        <w:tc>
          <w:tcPr>
            <w:tcW w:w="1525" w:type="dxa"/>
            <w:gridSpan w:val="6"/>
            <w:vMerge w:val="restart"/>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98" w:hanging="0"/>
              <w:rPr>
                <w:rFonts w:ascii="Times New Roman" w:hAnsi="Times New Roman"/>
                <w:sz w:val="22"/>
                <w:szCs w:val="22"/>
              </w:rPr>
            </w:pPr>
            <w:r>
              <w:rPr>
                <w:rFonts w:cs="Calibri" w:cstheme="minorHAnsi"/>
                <w:color w:val="3465A4"/>
                <w:sz w:val="22"/>
                <w:szCs w:val="22"/>
              </w:rPr>
              <w:t>Nota: Descrever o grau do risco Ex. Baixa</w:t>
            </w:r>
          </w:p>
        </w:tc>
        <w:tc>
          <w:tcPr>
            <w:tcW w:w="5575" w:type="dxa"/>
            <w:gridSpan w:val="9"/>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2023" w:right="2020" w:hanging="0"/>
              <w:jc w:val="center"/>
              <w:rPr>
                <w:rFonts w:ascii="Times New Roman" w:hAnsi="Times New Roman"/>
                <w:sz w:val="22"/>
                <w:szCs w:val="22"/>
              </w:rPr>
            </w:pPr>
            <w:r>
              <w:rPr>
                <w:rFonts w:cs="Calibri" w:cstheme="minorHAnsi"/>
                <w:b/>
                <w:sz w:val="22"/>
                <w:szCs w:val="22"/>
              </w:rPr>
              <w:t>Dano potencial</w:t>
            </w:r>
          </w:p>
        </w:tc>
      </w:tr>
      <w:tr>
        <w:trPr>
          <w:trHeight w:val="338" w:hRule="atLeast"/>
        </w:trPr>
        <w:tc>
          <w:tcPr>
            <w:tcW w:w="2470" w:type="dxa"/>
            <w:gridSpan w:val="2"/>
            <w:vMerge w:val="continue"/>
            <w:tcBorders>
              <w:top w:val="single" w:sz="2" w:space="0" w:color="000001"/>
              <w:left w:val="single" w:sz="2" w:space="0" w:color="000001"/>
              <w:bottom w:val="single" w:sz="2" w:space="0" w:color="000001"/>
              <w:right w:val="single" w:sz="2" w:space="0" w:color="000001"/>
            </w:tcBorders>
            <w:shd w:color="auto" w:fill="CCCCCC"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1525" w:type="dxa"/>
            <w:gridSpan w:val="6"/>
            <w:vMerge w:val="continue"/>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5575" w:type="dxa"/>
            <w:gridSpan w:val="9"/>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lineRule="auto" w:line="276" w:beforeAutospacing="0" w:before="0" w:after="0"/>
              <w:jc w:val="center"/>
              <w:rPr>
                <w:rFonts w:ascii="Times New Roman" w:hAnsi="Times New Roman"/>
                <w:color w:val="3465A4"/>
                <w:sz w:val="22"/>
                <w:szCs w:val="22"/>
              </w:rPr>
            </w:pPr>
            <w:r>
              <w:rPr>
                <w:rFonts w:cs="Calibri" w:cstheme="minorHAnsi"/>
                <w:color w:val="3465A4"/>
                <w:sz w:val="22"/>
                <w:szCs w:val="22"/>
              </w:rPr>
              <w:t>Encerramento da Licitação.</w:t>
            </w:r>
          </w:p>
        </w:tc>
      </w:tr>
      <w:tr>
        <w:trPr>
          <w:trHeight w:val="318" w:hRule="atLeast"/>
        </w:trPr>
        <w:tc>
          <w:tcPr>
            <w:tcW w:w="6403" w:type="dxa"/>
            <w:gridSpan w:val="14"/>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jc w:val="left"/>
              <w:rPr>
                <w:rFonts w:ascii="Times New Roman" w:hAnsi="Times New Roman"/>
                <w:sz w:val="22"/>
                <w:szCs w:val="22"/>
              </w:rPr>
            </w:pPr>
            <w:r>
              <w:rPr>
                <w:rFonts w:cs="Calibri" w:cstheme="minorHAnsi"/>
                <w:b/>
                <w:sz w:val="22"/>
                <w:szCs w:val="22"/>
              </w:rPr>
              <w:t>Ação Preventiva</w:t>
            </w:r>
          </w:p>
        </w:tc>
        <w:tc>
          <w:tcPr>
            <w:tcW w:w="3167" w:type="dxa"/>
            <w:gridSpan w:val="3"/>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590" w:hRule="atLeast"/>
        </w:trPr>
        <w:tc>
          <w:tcPr>
            <w:tcW w:w="6403" w:type="dxa"/>
            <w:gridSpan w:val="14"/>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lineRule="auto" w:line="276" w:beforeAutospacing="0" w:before="0" w:after="0"/>
              <w:rPr>
                <w:rFonts w:ascii="Times New Roman" w:hAnsi="Times New Roman"/>
                <w:color w:val="3465A4"/>
                <w:sz w:val="22"/>
                <w:szCs w:val="22"/>
              </w:rPr>
            </w:pPr>
            <w:r>
              <w:rPr>
                <w:rFonts w:cs="Calibri" w:cstheme="minorHAnsi"/>
                <w:color w:val="3465A4"/>
                <w:sz w:val="22"/>
                <w:szCs w:val="22"/>
              </w:rPr>
              <w:t>Nota: Apontar a medida preventiva. Ex. Capacitação de servidores; incorporar as atualizações da legislação (acórdãos TCU); Estabelecer rotinas de revisão.</w:t>
            </w:r>
          </w:p>
        </w:tc>
        <w:tc>
          <w:tcPr>
            <w:tcW w:w="3167" w:type="dxa"/>
            <w:gridSpan w:val="3"/>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Comissão de compras/aquisição</w:t>
            </w:r>
          </w:p>
        </w:tc>
      </w:tr>
      <w:tr>
        <w:trPr>
          <w:trHeight w:val="264" w:hRule="atLeast"/>
        </w:trPr>
        <w:tc>
          <w:tcPr>
            <w:tcW w:w="6403" w:type="dxa"/>
            <w:gridSpan w:val="14"/>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jc w:val="left"/>
              <w:rPr>
                <w:rFonts w:ascii="Times New Roman" w:hAnsi="Times New Roman"/>
                <w:sz w:val="22"/>
                <w:szCs w:val="22"/>
              </w:rPr>
            </w:pPr>
            <w:r>
              <w:rPr>
                <w:rFonts w:cs="Calibri" w:cstheme="minorHAnsi"/>
                <w:b/>
                <w:sz w:val="22"/>
                <w:szCs w:val="22"/>
              </w:rPr>
              <w:t>Ação de Contingência</w:t>
            </w:r>
          </w:p>
        </w:tc>
        <w:tc>
          <w:tcPr>
            <w:tcW w:w="3167" w:type="dxa"/>
            <w:gridSpan w:val="3"/>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312" w:hRule="atLeast"/>
        </w:trPr>
        <w:tc>
          <w:tcPr>
            <w:tcW w:w="6403" w:type="dxa"/>
            <w:gridSpan w:val="14"/>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hanging="0"/>
              <w:jc w:val="center"/>
              <w:rPr>
                <w:rFonts w:ascii="Times New Roman" w:hAnsi="Times New Roman"/>
                <w:color w:val="3465A4"/>
                <w:sz w:val="22"/>
                <w:szCs w:val="22"/>
              </w:rPr>
            </w:pPr>
            <w:r>
              <w:rPr>
                <w:rFonts w:cs="Calibri" w:cstheme="minorHAnsi"/>
                <w:color w:val="3465A4"/>
                <w:sz w:val="22"/>
                <w:szCs w:val="22"/>
              </w:rPr>
              <w:t>Nota:  a medida imediata. Ex Suspensão da licitação</w:t>
            </w:r>
          </w:p>
        </w:tc>
        <w:tc>
          <w:tcPr>
            <w:tcW w:w="3167" w:type="dxa"/>
            <w:gridSpan w:val="3"/>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Comissão de compras/aquisição</w:t>
            </w:r>
          </w:p>
        </w:tc>
      </w:tr>
      <w:tr>
        <w:trPr/>
        <w:tc>
          <w:tcPr>
            <w:tcW w:w="9570" w:type="dxa"/>
            <w:gridSpan w:val="17"/>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3-  Riscos – Gestão do Contrato</w:t>
            </w:r>
          </w:p>
        </w:tc>
      </w:tr>
      <w:tr>
        <w:trPr>
          <w:trHeight w:val="565" w:hRule="atLeast"/>
        </w:trPr>
        <w:tc>
          <w:tcPr>
            <w:tcW w:w="2475" w:type="dxa"/>
            <w:gridSpan w:val="3"/>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494" w:hanging="0"/>
              <w:rPr>
                <w:rFonts w:ascii="Times New Roman" w:hAnsi="Times New Roman"/>
                <w:sz w:val="22"/>
                <w:szCs w:val="22"/>
              </w:rPr>
            </w:pPr>
            <w:r>
              <w:rPr>
                <w:rFonts w:cs="Calibri" w:cstheme="minorHAnsi"/>
                <w:b/>
                <w:sz w:val="22"/>
                <w:szCs w:val="22"/>
              </w:rPr>
              <w:t>Risco 4</w:t>
            </w:r>
          </w:p>
        </w:tc>
        <w:tc>
          <w:tcPr>
            <w:tcW w:w="7095" w:type="dxa"/>
            <w:gridSpan w:val="14"/>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lineRule="auto" w:line="276" w:beforeAutospacing="0" w:before="0" w:after="0"/>
              <w:jc w:val="center"/>
              <w:rPr>
                <w:rFonts w:ascii="Times New Roman" w:hAnsi="Times New Roman"/>
                <w:sz w:val="22"/>
                <w:szCs w:val="22"/>
              </w:rPr>
            </w:pPr>
            <w:r>
              <w:rPr>
                <w:rFonts w:cs="Calibri" w:cstheme="minorHAnsi"/>
                <w:b w:val="false"/>
                <w:bCs w:val="false"/>
                <w:color w:val="3465A4"/>
                <w:sz w:val="22"/>
                <w:szCs w:val="22"/>
                <w:lang w:val="pt-BR"/>
              </w:rPr>
              <w:t>Nota: descrever os riscos. Ex:</w:t>
            </w:r>
            <w:r>
              <w:rPr>
                <w:rFonts w:cs="Calibri" w:cstheme="minorHAnsi"/>
                <w:color w:val="3465A4"/>
                <w:sz w:val="22"/>
                <w:szCs w:val="22"/>
              </w:rPr>
              <w:t>Inércia frente a descumprimento de obrigações contratuais. Falha ou omissão no registro dos atos e fatos do contrato</w:t>
            </w:r>
          </w:p>
        </w:tc>
      </w:tr>
      <w:tr>
        <w:trPr>
          <w:trHeight w:val="249" w:hRule="atLeast"/>
        </w:trPr>
        <w:tc>
          <w:tcPr>
            <w:tcW w:w="2475" w:type="dxa"/>
            <w:gridSpan w:val="3"/>
            <w:vMerge w:val="restart"/>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32" w:hanging="0"/>
              <w:rPr>
                <w:rFonts w:ascii="Times New Roman" w:hAnsi="Times New Roman"/>
                <w:sz w:val="22"/>
                <w:szCs w:val="22"/>
              </w:rPr>
            </w:pPr>
            <w:r>
              <w:rPr>
                <w:rFonts w:cs="Calibri" w:cstheme="minorHAnsi"/>
                <w:b/>
                <w:sz w:val="22"/>
                <w:szCs w:val="22"/>
              </w:rPr>
              <w:t>Probabilidade</w:t>
            </w:r>
          </w:p>
        </w:tc>
        <w:tc>
          <w:tcPr>
            <w:tcW w:w="1529" w:type="dxa"/>
            <w:gridSpan w:val="6"/>
            <w:vMerge w:val="restart"/>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98" w:hanging="0"/>
              <w:rPr>
                <w:rFonts w:ascii="Times New Roman" w:hAnsi="Times New Roman"/>
                <w:color w:val="3465A4"/>
                <w:sz w:val="22"/>
                <w:szCs w:val="22"/>
              </w:rPr>
            </w:pPr>
            <w:r>
              <w:rPr>
                <w:rFonts w:cs="Calibri" w:cstheme="minorHAnsi"/>
                <w:color w:val="3465A4"/>
                <w:sz w:val="22"/>
                <w:szCs w:val="22"/>
              </w:rPr>
              <w:t>Nota: Descrever o grau do risco ExMédia</w:t>
            </w:r>
          </w:p>
        </w:tc>
        <w:tc>
          <w:tcPr>
            <w:tcW w:w="5566" w:type="dxa"/>
            <w:gridSpan w:val="8"/>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2023" w:right="2020" w:hanging="0"/>
              <w:jc w:val="center"/>
              <w:rPr>
                <w:rFonts w:ascii="Times New Roman" w:hAnsi="Times New Roman"/>
                <w:sz w:val="22"/>
                <w:szCs w:val="22"/>
              </w:rPr>
            </w:pPr>
            <w:r>
              <w:rPr>
                <w:rFonts w:cs="Calibri" w:cstheme="minorHAnsi"/>
                <w:b/>
                <w:sz w:val="22"/>
                <w:szCs w:val="22"/>
              </w:rPr>
              <w:t>Dano potencial</w:t>
            </w:r>
          </w:p>
        </w:tc>
      </w:tr>
      <w:tr>
        <w:trPr>
          <w:trHeight w:val="584" w:hRule="atLeast"/>
        </w:trPr>
        <w:tc>
          <w:tcPr>
            <w:tcW w:w="2475" w:type="dxa"/>
            <w:gridSpan w:val="3"/>
            <w:vMerge w:val="continue"/>
            <w:tcBorders>
              <w:top w:val="single" w:sz="2" w:space="0" w:color="000001"/>
              <w:left w:val="single" w:sz="2" w:space="0" w:color="000001"/>
              <w:bottom w:val="single" w:sz="2" w:space="0" w:color="000001"/>
              <w:right w:val="single" w:sz="2" w:space="0" w:color="000001"/>
            </w:tcBorders>
            <w:shd w:color="auto" w:fill="CCCCCC"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1529" w:type="dxa"/>
            <w:gridSpan w:val="6"/>
            <w:vMerge w:val="continue"/>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5566" w:type="dxa"/>
            <w:gridSpan w:val="8"/>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lineRule="auto" w:line="276" w:beforeAutospacing="0" w:before="0" w:after="0"/>
              <w:jc w:val="center"/>
              <w:rPr>
                <w:rFonts w:ascii="Times New Roman" w:hAnsi="Times New Roman"/>
                <w:color w:val="3465A4"/>
                <w:sz w:val="22"/>
                <w:szCs w:val="22"/>
              </w:rPr>
            </w:pPr>
            <w:r>
              <w:rPr>
                <w:rFonts w:cs="Calibri" w:cstheme="minorHAnsi"/>
                <w:color w:val="3465A4"/>
                <w:sz w:val="22"/>
                <w:szCs w:val="22"/>
              </w:rPr>
              <w:t>Deficiência na prestação dos serviços. Prejuízos financeiros a Administração</w:t>
            </w:r>
          </w:p>
        </w:tc>
      </w:tr>
      <w:tr>
        <w:trPr>
          <w:trHeight w:val="318"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jc w:val="center"/>
              <w:rPr>
                <w:rFonts w:ascii="Times New Roman" w:hAnsi="Times New Roman"/>
                <w:sz w:val="22"/>
                <w:szCs w:val="22"/>
              </w:rPr>
            </w:pPr>
            <w:r>
              <w:rPr>
                <w:rFonts w:cs="Calibri" w:cstheme="minorHAnsi"/>
                <w:b/>
                <w:sz w:val="22"/>
                <w:szCs w:val="22"/>
              </w:rPr>
              <w:t>Ação Preventiva</w:t>
            </w:r>
          </w:p>
        </w:tc>
        <w:tc>
          <w:tcPr>
            <w:tcW w:w="3134" w:type="dxa"/>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837"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beforeAutospacing="0" w:before="0" w:after="0"/>
              <w:jc w:val="both"/>
              <w:rPr>
                <w:rFonts w:ascii="Times New Roman" w:hAnsi="Times New Roman"/>
                <w:color w:val="3465A4"/>
                <w:sz w:val="22"/>
                <w:szCs w:val="22"/>
              </w:rPr>
            </w:pPr>
            <w:r>
              <w:rPr>
                <w:rFonts w:cs="Calibri" w:cstheme="minorHAnsi"/>
                <w:color w:val="3465A4"/>
                <w:sz w:val="22"/>
                <w:szCs w:val="22"/>
              </w:rPr>
              <w:t>Nota: Apontar a medida preventiva. Ex. Capacitação de servidores; Conhecimento dos termos contratuais e do serviço a ser executado. Conhecimentos das responsabilidades dos fiscais.</w:t>
            </w:r>
          </w:p>
          <w:p>
            <w:pPr>
              <w:pStyle w:val="Western"/>
              <w:widowControl w:val="false"/>
              <w:spacing w:beforeAutospacing="0" w:before="0" w:after="0"/>
              <w:jc w:val="both"/>
              <w:rPr>
                <w:rFonts w:ascii="Times New Roman" w:hAnsi="Times New Roman"/>
                <w:color w:val="3465A4"/>
                <w:sz w:val="22"/>
                <w:szCs w:val="22"/>
              </w:rPr>
            </w:pPr>
            <w:r>
              <w:rPr>
                <w:rFonts w:cs="Calibri" w:cstheme="minorHAnsi"/>
                <w:color w:val="3465A4"/>
                <w:sz w:val="22"/>
                <w:szCs w:val="22"/>
              </w:rPr>
              <w:t>Estabelecer modelos e rotinas de acompanhamento contratual</w:t>
            </w:r>
          </w:p>
        </w:tc>
        <w:tc>
          <w:tcPr>
            <w:tcW w:w="3134"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104" w:right="98" w:hanging="0"/>
              <w:jc w:val="center"/>
              <w:rPr>
                <w:rFonts w:ascii="Times New Roman" w:hAnsi="Times New Roman" w:cs="Calibri" w:cstheme="minorHAnsi"/>
                <w:color w:val="3465A4"/>
                <w:sz w:val="22"/>
                <w:szCs w:val="22"/>
                <w:lang w:val="pt-BR"/>
              </w:rPr>
            </w:pPr>
            <w:r>
              <w:rPr>
                <w:rFonts w:cs="Calibri" w:cstheme="minorHAnsi"/>
                <w:color w:val="3465A4"/>
                <w:sz w:val="22"/>
                <w:szCs w:val="22"/>
                <w:lang w:val="pt-BR"/>
              </w:rPr>
            </w:r>
          </w:p>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Fiscal técnico e administrativo, Gestor do Contrato</w:t>
            </w:r>
          </w:p>
        </w:tc>
      </w:tr>
      <w:tr>
        <w:trPr>
          <w:trHeight w:val="264"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jc w:val="center"/>
              <w:rPr>
                <w:rFonts w:ascii="Times New Roman" w:hAnsi="Times New Roman"/>
                <w:sz w:val="22"/>
                <w:szCs w:val="22"/>
              </w:rPr>
            </w:pPr>
            <w:r>
              <w:rPr>
                <w:rFonts w:cs="Calibri" w:cstheme="minorHAnsi"/>
                <w:b/>
                <w:sz w:val="22"/>
                <w:szCs w:val="22"/>
              </w:rPr>
              <w:t>Ação de Contingência</w:t>
            </w:r>
          </w:p>
        </w:tc>
        <w:tc>
          <w:tcPr>
            <w:tcW w:w="3134" w:type="dxa"/>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312" w:hRule="atLeast"/>
        </w:trPr>
        <w:tc>
          <w:tcPr>
            <w:tcW w:w="6436" w:type="dxa"/>
            <w:gridSpan w:val="16"/>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hanging="0"/>
              <w:jc w:val="center"/>
              <w:rPr>
                <w:rFonts w:ascii="Times New Roman" w:hAnsi="Times New Roman"/>
                <w:color w:val="3465A4"/>
                <w:sz w:val="22"/>
                <w:szCs w:val="22"/>
              </w:rPr>
            </w:pPr>
            <w:r>
              <w:rPr>
                <w:rFonts w:cs="Calibri" w:cstheme="minorHAnsi"/>
                <w:color w:val="3465A4"/>
                <w:sz w:val="22"/>
                <w:szCs w:val="22"/>
                <w:lang w:val="pt-BR"/>
              </w:rPr>
              <w:t>Nota:  a medida imediata. Ex. Sanções administrativas. Responsabilização da Gestão e fiscalização contratual.</w:t>
            </w:r>
          </w:p>
        </w:tc>
        <w:tc>
          <w:tcPr>
            <w:tcW w:w="3134"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jc w:val="center"/>
              <w:rPr>
                <w:rFonts w:ascii="Times New Roman" w:hAnsi="Times New Roman"/>
                <w:color w:val="3465A4"/>
                <w:sz w:val="22"/>
                <w:szCs w:val="22"/>
              </w:rPr>
            </w:pPr>
            <w:r>
              <w:rPr>
                <w:rFonts w:cs="Calibri" w:cstheme="minorHAnsi"/>
                <w:color w:val="3465A4"/>
                <w:sz w:val="22"/>
                <w:szCs w:val="22"/>
                <w:lang w:val="pt-BR"/>
              </w:rPr>
              <w:t>Fiscal técnico e administrativo, Gestor do Contrato</w:t>
            </w:r>
          </w:p>
        </w:tc>
      </w:tr>
      <w:tr>
        <w:trPr>
          <w:trHeight w:val="565" w:hRule="atLeast"/>
        </w:trPr>
        <w:tc>
          <w:tcPr>
            <w:tcW w:w="2468" w:type="dxa"/>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494" w:hanging="0"/>
              <w:rPr>
                <w:rFonts w:ascii="Times New Roman" w:hAnsi="Times New Roman"/>
                <w:sz w:val="22"/>
                <w:szCs w:val="22"/>
              </w:rPr>
            </w:pPr>
            <w:r>
              <w:rPr>
                <w:rFonts w:cs="Calibri" w:cstheme="minorHAnsi"/>
                <w:b/>
                <w:sz w:val="22"/>
                <w:szCs w:val="22"/>
              </w:rPr>
              <w:t>Risco 5</w:t>
            </w:r>
          </w:p>
        </w:tc>
        <w:tc>
          <w:tcPr>
            <w:tcW w:w="7102" w:type="dxa"/>
            <w:gridSpan w:val="16"/>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jc w:val="center"/>
              <w:rPr>
                <w:rFonts w:ascii="Times New Roman" w:hAnsi="Times New Roman"/>
                <w:color w:val="3465A4"/>
                <w:sz w:val="22"/>
                <w:szCs w:val="22"/>
              </w:rPr>
            </w:pPr>
            <w:r>
              <w:rPr>
                <w:rFonts w:cs="Calibri" w:cstheme="minorHAnsi"/>
                <w:b w:val="false"/>
                <w:bCs w:val="false"/>
                <w:color w:val="3465A4"/>
                <w:sz w:val="22"/>
                <w:szCs w:val="22"/>
                <w:lang w:val="pt-BR"/>
              </w:rPr>
              <w:t>Nota: descrever os riscos. Ex:</w:t>
            </w:r>
            <w:r>
              <w:rPr>
                <w:rFonts w:cs="Calibri" w:cstheme="minorHAnsi"/>
                <w:color w:val="3465A4"/>
                <w:sz w:val="22"/>
                <w:szCs w:val="22"/>
              </w:rPr>
              <w:t>Descumprimento das obrigações trabalhistas, previdenciárias e com FGTS da Contratada.</w:t>
            </w:r>
          </w:p>
        </w:tc>
      </w:tr>
      <w:tr>
        <w:trPr>
          <w:trHeight w:val="249" w:hRule="atLeast"/>
        </w:trPr>
        <w:tc>
          <w:tcPr>
            <w:tcW w:w="2468" w:type="dxa"/>
            <w:vMerge w:val="restart"/>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32" w:hanging="0"/>
              <w:rPr>
                <w:rFonts w:ascii="Times New Roman" w:hAnsi="Times New Roman"/>
                <w:sz w:val="22"/>
                <w:szCs w:val="22"/>
              </w:rPr>
            </w:pPr>
            <w:r>
              <w:rPr>
                <w:rFonts w:cs="Calibri" w:cstheme="minorHAnsi"/>
                <w:b/>
                <w:sz w:val="22"/>
                <w:szCs w:val="22"/>
              </w:rPr>
              <w:t>Probabilidade</w:t>
            </w:r>
          </w:p>
        </w:tc>
        <w:tc>
          <w:tcPr>
            <w:tcW w:w="1521" w:type="dxa"/>
            <w:gridSpan w:val="6"/>
            <w:vMerge w:val="restart"/>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98" w:hanging="0"/>
              <w:jc w:val="center"/>
              <w:rPr>
                <w:rFonts w:ascii="Times New Roman" w:hAnsi="Times New Roman"/>
                <w:sz w:val="22"/>
                <w:szCs w:val="22"/>
              </w:rPr>
            </w:pPr>
            <w:r>
              <w:rPr>
                <w:rFonts w:cs="Calibri" w:cstheme="minorHAnsi"/>
                <w:color w:val="3465A4"/>
                <w:sz w:val="22"/>
                <w:szCs w:val="22"/>
              </w:rPr>
              <w:t>Nota: Descrever o grau do risco Ex</w:t>
            </w:r>
            <w:r>
              <w:rPr>
                <w:rFonts w:cs="Calibri" w:cstheme="minorHAnsi"/>
                <w:sz w:val="22"/>
                <w:szCs w:val="22"/>
              </w:rPr>
              <w:t>Alta</w:t>
            </w:r>
          </w:p>
        </w:tc>
        <w:tc>
          <w:tcPr>
            <w:tcW w:w="5581" w:type="dxa"/>
            <w:gridSpan w:val="10"/>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2023" w:right="2020" w:hanging="0"/>
              <w:jc w:val="center"/>
              <w:rPr>
                <w:rFonts w:ascii="Times New Roman" w:hAnsi="Times New Roman"/>
                <w:sz w:val="22"/>
                <w:szCs w:val="22"/>
              </w:rPr>
            </w:pPr>
            <w:r>
              <w:rPr>
                <w:rFonts w:cs="Calibri" w:cstheme="minorHAnsi"/>
                <w:b/>
                <w:sz w:val="22"/>
                <w:szCs w:val="22"/>
              </w:rPr>
              <w:t>Dano potencial</w:t>
            </w:r>
          </w:p>
        </w:tc>
      </w:tr>
      <w:tr>
        <w:trPr>
          <w:trHeight w:val="584" w:hRule="atLeast"/>
        </w:trPr>
        <w:tc>
          <w:tcPr>
            <w:tcW w:w="2468" w:type="dxa"/>
            <w:vMerge w:val="continue"/>
            <w:tcBorders>
              <w:top w:val="single" w:sz="2" w:space="0" w:color="000001"/>
              <w:left w:val="single" w:sz="2" w:space="0" w:color="000001"/>
              <w:bottom w:val="single" w:sz="2" w:space="0" w:color="000001"/>
              <w:right w:val="single" w:sz="2" w:space="0" w:color="000001"/>
            </w:tcBorders>
            <w:shd w:color="auto" w:fill="CCCCCC"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1521" w:type="dxa"/>
            <w:gridSpan w:val="6"/>
            <w:vMerge w:val="continue"/>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rPr>
                <w:rFonts w:ascii="Times New Roman" w:hAnsi="Times New Roman" w:cs="Calibri" w:cstheme="minorHAnsi"/>
                <w:sz w:val="22"/>
                <w:szCs w:val="22"/>
              </w:rPr>
            </w:pPr>
            <w:r>
              <w:rPr>
                <w:rFonts w:cs="Calibri" w:cstheme="minorHAnsi"/>
                <w:sz w:val="22"/>
                <w:szCs w:val="22"/>
              </w:rPr>
            </w:r>
          </w:p>
        </w:tc>
        <w:tc>
          <w:tcPr>
            <w:tcW w:w="5581" w:type="dxa"/>
            <w:gridSpan w:val="10"/>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lineRule="auto" w:line="276" w:beforeAutospacing="0" w:before="0" w:after="0"/>
              <w:jc w:val="center"/>
              <w:rPr>
                <w:rFonts w:ascii="Times New Roman" w:hAnsi="Times New Roman"/>
                <w:color w:val="3465A4"/>
                <w:sz w:val="22"/>
                <w:szCs w:val="22"/>
              </w:rPr>
            </w:pPr>
            <w:r>
              <w:rPr>
                <w:rFonts w:cs="Calibri" w:cstheme="minorHAnsi"/>
                <w:color w:val="3465A4"/>
                <w:sz w:val="22"/>
                <w:szCs w:val="22"/>
              </w:rPr>
              <w:t>Responsabilização subsidiária da Administração</w:t>
            </w:r>
          </w:p>
        </w:tc>
      </w:tr>
      <w:tr>
        <w:trPr>
          <w:trHeight w:val="318" w:hRule="atLeast"/>
        </w:trPr>
        <w:tc>
          <w:tcPr>
            <w:tcW w:w="6395" w:type="dxa"/>
            <w:gridSpan w:val="13"/>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jc w:val="center"/>
              <w:rPr>
                <w:rFonts w:ascii="Times New Roman" w:hAnsi="Times New Roman"/>
                <w:sz w:val="22"/>
                <w:szCs w:val="22"/>
              </w:rPr>
            </w:pPr>
            <w:r>
              <w:rPr>
                <w:rFonts w:cs="Calibri" w:cstheme="minorHAnsi"/>
                <w:b/>
                <w:sz w:val="22"/>
                <w:szCs w:val="22"/>
              </w:rPr>
              <w:t>Ação Preventiva</w:t>
            </w:r>
          </w:p>
        </w:tc>
        <w:tc>
          <w:tcPr>
            <w:tcW w:w="3175" w:type="dxa"/>
            <w:gridSpan w:val="4"/>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1125" w:hRule="atLeast"/>
        </w:trPr>
        <w:tc>
          <w:tcPr>
            <w:tcW w:w="6395" w:type="dxa"/>
            <w:gridSpan w:val="13"/>
            <w:tcBorders>
              <w:top w:val="single" w:sz="2" w:space="0" w:color="000001"/>
              <w:left w:val="single" w:sz="2" w:space="0" w:color="000001"/>
              <w:bottom w:val="single" w:sz="2" w:space="0" w:color="000001"/>
              <w:right w:val="single" w:sz="2" w:space="0" w:color="000001"/>
            </w:tcBorders>
            <w:shd w:color="auto" w:fill="auto" w:val="clear"/>
          </w:tcPr>
          <w:p>
            <w:pPr>
              <w:pStyle w:val="Western"/>
              <w:widowControl w:val="false"/>
              <w:spacing w:beforeAutospacing="0" w:before="0" w:after="0"/>
              <w:jc w:val="both"/>
              <w:rPr>
                <w:rFonts w:ascii="Times New Roman" w:hAnsi="Times New Roman"/>
                <w:color w:val="3465A4"/>
                <w:sz w:val="22"/>
                <w:szCs w:val="22"/>
              </w:rPr>
            </w:pPr>
            <w:r>
              <w:rPr>
                <w:rFonts w:cs="Calibri" w:cstheme="minorHAnsi"/>
                <w:color w:val="3465A4"/>
                <w:sz w:val="22"/>
                <w:szCs w:val="22"/>
              </w:rPr>
              <w:t>Nota: Apontar a medida preventiva. Ex. Capacitação de servidores; Previsão expressa no termo de contrato. Conhecimento dos termos contratuais. Conhecimentos das responsabilidades dos fiscais.</w:t>
            </w:r>
          </w:p>
          <w:p>
            <w:pPr>
              <w:pStyle w:val="Western"/>
              <w:widowControl w:val="false"/>
              <w:spacing w:beforeAutospacing="0" w:before="0" w:after="0"/>
              <w:jc w:val="both"/>
              <w:rPr>
                <w:rFonts w:ascii="Times New Roman" w:hAnsi="Times New Roman"/>
                <w:color w:val="3465A4"/>
                <w:sz w:val="22"/>
                <w:szCs w:val="22"/>
              </w:rPr>
            </w:pPr>
            <w:r>
              <w:rPr>
                <w:rFonts w:cs="Calibri" w:cstheme="minorHAnsi"/>
                <w:color w:val="3465A4"/>
                <w:sz w:val="22"/>
                <w:szCs w:val="22"/>
              </w:rPr>
              <w:t>Estabelecer modelos e rotinas de acompanhamento contratual</w:t>
            </w:r>
          </w:p>
        </w:tc>
        <w:tc>
          <w:tcPr>
            <w:tcW w:w="3175" w:type="dxa"/>
            <w:gridSpan w:val="4"/>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104" w:right="98" w:hanging="0"/>
              <w:jc w:val="center"/>
              <w:rPr>
                <w:rFonts w:ascii="Times New Roman" w:hAnsi="Times New Roman"/>
                <w:color w:val="3465A4"/>
                <w:sz w:val="22"/>
                <w:szCs w:val="22"/>
              </w:rPr>
            </w:pPr>
            <w:r>
              <w:rPr>
                <w:rFonts w:cs="Calibri" w:cstheme="minorHAnsi"/>
                <w:color w:val="3465A4"/>
                <w:sz w:val="22"/>
                <w:szCs w:val="22"/>
                <w:lang w:val="pt-BR"/>
              </w:rPr>
              <w:t>Fiscal técnico e administrativo, Gestor do Contrato.</w:t>
            </w:r>
          </w:p>
        </w:tc>
      </w:tr>
      <w:tr>
        <w:trPr>
          <w:trHeight w:val="264" w:hRule="atLeast"/>
        </w:trPr>
        <w:tc>
          <w:tcPr>
            <w:tcW w:w="6395" w:type="dxa"/>
            <w:gridSpan w:val="13"/>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jc w:val="center"/>
              <w:rPr>
                <w:rFonts w:ascii="Times New Roman" w:hAnsi="Times New Roman"/>
                <w:sz w:val="22"/>
                <w:szCs w:val="22"/>
              </w:rPr>
            </w:pPr>
            <w:r>
              <w:rPr>
                <w:rFonts w:cs="Calibri" w:cstheme="minorHAnsi"/>
                <w:b/>
                <w:sz w:val="22"/>
                <w:szCs w:val="22"/>
              </w:rPr>
              <w:t>Ação de Contingência</w:t>
            </w:r>
          </w:p>
        </w:tc>
        <w:tc>
          <w:tcPr>
            <w:tcW w:w="3175" w:type="dxa"/>
            <w:gridSpan w:val="4"/>
            <w:tcBorders>
              <w:top w:val="single" w:sz="2" w:space="0" w:color="000001"/>
              <w:left w:val="single" w:sz="2" w:space="0" w:color="000001"/>
              <w:bottom w:val="single" w:sz="2" w:space="0" w:color="000001"/>
              <w:right w:val="single" w:sz="2" w:space="0" w:color="000001"/>
            </w:tcBorders>
            <w:shd w:color="auto" w:fill="CCCCCC" w:val="clear"/>
          </w:tcPr>
          <w:p>
            <w:pPr>
              <w:pStyle w:val="TableParagraph"/>
              <w:widowControl w:val="false"/>
              <w:ind w:left="103" w:right="204" w:hanging="0"/>
              <w:jc w:val="center"/>
              <w:rPr>
                <w:rFonts w:ascii="Times New Roman" w:hAnsi="Times New Roman"/>
                <w:sz w:val="22"/>
                <w:szCs w:val="22"/>
              </w:rPr>
            </w:pPr>
            <w:r>
              <w:rPr>
                <w:rFonts w:cs="Calibri" w:cstheme="minorHAnsi"/>
                <w:b/>
                <w:sz w:val="22"/>
                <w:szCs w:val="22"/>
              </w:rPr>
              <w:t>Responsável</w:t>
            </w:r>
          </w:p>
        </w:tc>
      </w:tr>
      <w:tr>
        <w:trPr>
          <w:trHeight w:val="312" w:hRule="atLeast"/>
        </w:trPr>
        <w:tc>
          <w:tcPr>
            <w:tcW w:w="6395" w:type="dxa"/>
            <w:gridSpan w:val="13"/>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ind w:left="70" w:hanging="0"/>
              <w:jc w:val="center"/>
              <w:rPr>
                <w:rFonts w:ascii="Times New Roman" w:hAnsi="Times New Roman"/>
                <w:color w:val="3465A4"/>
                <w:sz w:val="22"/>
                <w:szCs w:val="22"/>
              </w:rPr>
            </w:pPr>
            <w:r>
              <w:rPr>
                <w:rFonts w:cs="Calibri" w:cstheme="minorHAnsi"/>
                <w:color w:val="3465A4"/>
                <w:sz w:val="22"/>
                <w:szCs w:val="22"/>
                <w:lang w:val="pt-BR"/>
              </w:rPr>
              <w:t>Nota:  a medida imediata. Ex. Conferência rotineira do cumprimento das obrigações trabalhistas, previdenciárias e com FGTS da Contratada.</w:t>
            </w:r>
          </w:p>
          <w:p>
            <w:pPr>
              <w:pStyle w:val="TableParagraph"/>
              <w:widowControl w:val="false"/>
              <w:ind w:left="70" w:hanging="0"/>
              <w:jc w:val="center"/>
              <w:rPr>
                <w:rFonts w:ascii="Times New Roman" w:hAnsi="Times New Roman"/>
                <w:color w:val="3465A4"/>
                <w:sz w:val="22"/>
                <w:szCs w:val="22"/>
              </w:rPr>
            </w:pPr>
            <w:r>
              <w:rPr>
                <w:rFonts w:cs="Calibri" w:cstheme="minorHAnsi"/>
                <w:color w:val="3465A4"/>
                <w:sz w:val="22"/>
                <w:szCs w:val="22"/>
                <w:lang w:val="pt-BR"/>
              </w:rPr>
              <w:t>Estabelecer modelos e rotinas de acompanhamento contratual</w:t>
            </w:r>
          </w:p>
        </w:tc>
        <w:tc>
          <w:tcPr>
            <w:tcW w:w="3175" w:type="dxa"/>
            <w:gridSpan w:val="4"/>
            <w:tcBorders>
              <w:top w:val="single" w:sz="2" w:space="0" w:color="000001"/>
              <w:left w:val="single" w:sz="2" w:space="0" w:color="000001"/>
              <w:bottom w:val="single" w:sz="2" w:space="0" w:color="000001"/>
              <w:right w:val="single" w:sz="2" w:space="0" w:color="000001"/>
            </w:tcBorders>
            <w:shd w:color="auto" w:fill="auto" w:val="clear"/>
          </w:tcPr>
          <w:p>
            <w:pPr>
              <w:pStyle w:val="TableParagraph"/>
              <w:widowControl w:val="false"/>
              <w:jc w:val="center"/>
              <w:rPr>
                <w:rFonts w:ascii="Times New Roman" w:hAnsi="Times New Roman"/>
                <w:color w:val="3465A4"/>
                <w:sz w:val="22"/>
                <w:szCs w:val="22"/>
              </w:rPr>
            </w:pPr>
            <w:r>
              <w:rPr>
                <w:rFonts w:cs="Calibri" w:cstheme="minorHAnsi"/>
                <w:color w:val="3465A4"/>
                <w:sz w:val="22"/>
                <w:szCs w:val="22"/>
                <w:lang w:val="pt-BR"/>
              </w:rPr>
              <w:t>Fiscal técnico e administrativo, Gestor do Contrato.</w:t>
            </w:r>
          </w:p>
        </w:tc>
      </w:tr>
      <w:tr>
        <w:trPr/>
        <w:tc>
          <w:tcPr>
            <w:tcW w:w="9570" w:type="dxa"/>
            <w:gridSpan w:val="17"/>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5 -  Avaliação Qualitativa dos Riscos</w:t>
            </w:r>
          </w:p>
        </w:tc>
      </w:tr>
      <w:tr>
        <w:trPr/>
        <w:tc>
          <w:tcPr>
            <w:tcW w:w="9570" w:type="dxa"/>
            <w:gridSpan w:val="17"/>
            <w:tcBorders>
              <w:top w:val="single" w:sz="4" w:space="0" w:color="000000"/>
              <w:left w:val="single" w:sz="4" w:space="0" w:color="000000"/>
              <w:bottom w:val="single" w:sz="4" w:space="0" w:color="000000"/>
              <w:right w:val="single" w:sz="4" w:space="0" w:color="000000"/>
            </w:tcBorders>
          </w:tcPr>
          <w:p>
            <w:pPr>
              <w:pStyle w:val="TableParagraph"/>
              <w:widowControl w:val="false"/>
              <w:ind w:left="70" w:hanging="0"/>
              <w:rPr>
                <w:rFonts w:ascii="Times New Roman" w:hAnsi="Times New Roman"/>
                <w:sz w:val="22"/>
                <w:szCs w:val="22"/>
              </w:rPr>
            </w:pPr>
            <w:r>
              <w:rPr>
                <w:rFonts w:cs="Calibri" w:cstheme="minorHAnsi"/>
                <w:sz w:val="22"/>
                <w:szCs w:val="22"/>
                <w:lang w:val="pt-BR"/>
              </w:rPr>
              <w:t>A seguir encontra-se a matriz de avaliação qualitativa dos riscos identificados na contratação</w:t>
            </w:r>
          </w:p>
        </w:tc>
      </w:tr>
      <w:tr>
        <w:trPr>
          <w:trHeight w:val="502" w:hRule="atLeast"/>
        </w:trPr>
        <w:tc>
          <w:tcPr>
            <w:tcW w:w="9570" w:type="dxa"/>
            <w:gridSpan w:val="17"/>
            <w:tcBorders>
              <w:top w:val="single" w:sz="8" w:space="0" w:color="000000"/>
              <w:left w:val="single" w:sz="8" w:space="0" w:color="000000"/>
              <w:bottom w:val="single" w:sz="8" w:space="0" w:color="000000"/>
              <w:right w:val="single" w:sz="8" w:space="0" w:color="000000"/>
            </w:tcBorders>
            <w:shd w:color="000000" w:fill="B4C6E7" w:val="clear"/>
            <w:vAlign w:val="center"/>
          </w:tcPr>
          <w:p>
            <w:pPr>
              <w:pStyle w:val="Normal"/>
              <w:widowControl w:val="false"/>
              <w:jc w:val="center"/>
              <w:rPr>
                <w:rFonts w:ascii="Times New Roman" w:hAnsi="Times New Roman"/>
                <w:sz w:val="22"/>
                <w:szCs w:val="22"/>
              </w:rPr>
            </w:pPr>
            <w:r>
              <w:rPr>
                <w:rFonts w:cs="Calibri" w:cstheme="minorHAnsi"/>
                <w:b/>
                <w:bCs/>
                <w:color w:val="000000"/>
                <w:sz w:val="22"/>
                <w:szCs w:val="22"/>
              </w:rPr>
              <w:t>PROBABILIDADE DE RISCOS</w:t>
            </w:r>
          </w:p>
        </w:tc>
      </w:tr>
      <w:tr>
        <w:trPr>
          <w:trHeight w:val="502" w:hRule="atLeast"/>
        </w:trPr>
        <w:tc>
          <w:tcPr>
            <w:tcW w:w="2908" w:type="dxa"/>
            <w:gridSpan w:val="6"/>
            <w:tcBorders>
              <w:top w:val="single" w:sz="8" w:space="0" w:color="000000"/>
              <w:left w:val="single" w:sz="8" w:space="0" w:color="000000"/>
              <w:bottom w:val="single" w:sz="8" w:space="0" w:color="000000"/>
              <w:right w:val="single" w:sz="8" w:space="0" w:color="000000"/>
            </w:tcBorders>
            <w:shd w:color="000000" w:fill="B4C6E7" w:val="clear"/>
            <w:vAlign w:val="center"/>
          </w:tcPr>
          <w:p>
            <w:pPr>
              <w:pStyle w:val="Normal"/>
              <w:widowControl w:val="false"/>
              <w:jc w:val="center"/>
              <w:rPr>
                <w:rFonts w:ascii="Times New Roman" w:hAnsi="Times New Roman"/>
                <w:sz w:val="22"/>
                <w:szCs w:val="22"/>
              </w:rPr>
            </w:pPr>
            <w:r>
              <w:rPr>
                <w:rFonts w:cs="Calibri" w:cstheme="minorHAnsi"/>
                <w:b/>
                <w:bCs/>
                <w:color w:val="000000"/>
                <w:sz w:val="22"/>
                <w:szCs w:val="22"/>
              </w:rPr>
              <w:t>BAIXA</w:t>
            </w:r>
          </w:p>
        </w:tc>
        <w:tc>
          <w:tcPr>
            <w:tcW w:w="3455" w:type="dxa"/>
            <w:gridSpan w:val="6"/>
            <w:tcBorders>
              <w:top w:val="single" w:sz="8" w:space="0" w:color="000000"/>
              <w:left w:val="single" w:sz="8" w:space="0" w:color="000000"/>
              <w:bottom w:val="single" w:sz="8" w:space="0" w:color="000000"/>
              <w:right w:val="single" w:sz="8" w:space="0" w:color="000000"/>
            </w:tcBorders>
            <w:shd w:color="000000" w:fill="B4C6E7" w:val="clear"/>
            <w:vAlign w:val="center"/>
          </w:tcPr>
          <w:p>
            <w:pPr>
              <w:pStyle w:val="Normal"/>
              <w:widowControl w:val="false"/>
              <w:jc w:val="center"/>
              <w:rPr>
                <w:rFonts w:ascii="Times New Roman" w:hAnsi="Times New Roman"/>
                <w:sz w:val="22"/>
                <w:szCs w:val="22"/>
              </w:rPr>
            </w:pPr>
            <w:r>
              <w:rPr>
                <w:rFonts w:cs="Calibri" w:cstheme="minorHAnsi"/>
                <w:b/>
                <w:bCs/>
                <w:color w:val="000000"/>
                <w:sz w:val="22"/>
                <w:szCs w:val="22"/>
              </w:rPr>
              <w:t>MODERADA</w:t>
            </w:r>
          </w:p>
        </w:tc>
        <w:tc>
          <w:tcPr>
            <w:tcW w:w="3207" w:type="dxa"/>
            <w:gridSpan w:val="5"/>
            <w:tcBorders>
              <w:top w:val="single" w:sz="8" w:space="0" w:color="000000"/>
              <w:left w:val="single" w:sz="8" w:space="0" w:color="000000"/>
              <w:bottom w:val="single" w:sz="8" w:space="0" w:color="000000"/>
              <w:right w:val="single" w:sz="8" w:space="0" w:color="000000"/>
            </w:tcBorders>
            <w:shd w:color="000000" w:fill="B4C6E7" w:val="clear"/>
            <w:vAlign w:val="center"/>
          </w:tcPr>
          <w:p>
            <w:pPr>
              <w:pStyle w:val="Normal"/>
              <w:widowControl w:val="false"/>
              <w:jc w:val="center"/>
              <w:rPr>
                <w:rFonts w:ascii="Times New Roman" w:hAnsi="Times New Roman"/>
                <w:sz w:val="22"/>
                <w:szCs w:val="22"/>
              </w:rPr>
            </w:pPr>
            <w:r>
              <w:rPr>
                <w:rFonts w:cs="Calibri" w:cstheme="minorHAnsi"/>
                <w:b/>
                <w:bCs/>
                <w:color w:val="000000"/>
                <w:sz w:val="22"/>
                <w:szCs w:val="22"/>
              </w:rPr>
              <w:t>ALTA</w:t>
            </w:r>
          </w:p>
        </w:tc>
      </w:tr>
      <w:tr>
        <w:trPr>
          <w:trHeight w:val="565" w:hRule="atLeast"/>
        </w:trPr>
        <w:tc>
          <w:tcPr>
            <w:tcW w:w="2908" w:type="dxa"/>
            <w:gridSpan w:val="6"/>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color w:val="3465A4"/>
                <w:sz w:val="22"/>
                <w:szCs w:val="22"/>
              </w:rPr>
            </w:pPr>
            <w:r>
              <w:rPr>
                <w:rFonts w:cs="Calibri" w:cstheme="minorHAnsi"/>
                <w:color w:val="3465A4"/>
                <w:sz w:val="22"/>
                <w:szCs w:val="22"/>
              </w:rPr>
              <w:t>Risco 2</w:t>
            </w:r>
          </w:p>
        </w:tc>
        <w:tc>
          <w:tcPr>
            <w:tcW w:w="3455" w:type="dxa"/>
            <w:gridSpan w:val="6"/>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color w:val="3465A4"/>
                <w:sz w:val="22"/>
                <w:szCs w:val="22"/>
              </w:rPr>
            </w:pPr>
            <w:r>
              <w:rPr>
                <w:rFonts w:cs="Calibri" w:cstheme="minorHAnsi"/>
                <w:color w:val="3465A4"/>
                <w:sz w:val="22"/>
                <w:szCs w:val="22"/>
              </w:rPr>
              <w:t>Risco 1</w:t>
            </w:r>
          </w:p>
        </w:tc>
        <w:tc>
          <w:tcPr>
            <w:tcW w:w="3207" w:type="dxa"/>
            <w:gridSpan w:val="5"/>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color w:val="3465A4"/>
                <w:sz w:val="22"/>
                <w:szCs w:val="22"/>
              </w:rPr>
            </w:pPr>
            <w:r>
              <w:rPr>
                <w:rFonts w:cs="Calibri" w:cstheme="minorHAnsi"/>
                <w:color w:val="3465A4"/>
                <w:sz w:val="22"/>
                <w:szCs w:val="22"/>
              </w:rPr>
              <w:t>Risco 5</w:t>
            </w:r>
          </w:p>
        </w:tc>
      </w:tr>
      <w:tr>
        <w:trPr>
          <w:trHeight w:val="565" w:hRule="atLeast"/>
        </w:trPr>
        <w:tc>
          <w:tcPr>
            <w:tcW w:w="2908" w:type="dxa"/>
            <w:gridSpan w:val="6"/>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color w:val="3465A4"/>
                <w:sz w:val="22"/>
                <w:szCs w:val="22"/>
              </w:rPr>
            </w:pPr>
            <w:r>
              <w:rPr>
                <w:rFonts w:cs="Calibri" w:cstheme="minorHAnsi"/>
                <w:color w:val="3465A4"/>
                <w:sz w:val="22"/>
                <w:szCs w:val="22"/>
              </w:rPr>
              <w:t>Risco 3</w:t>
            </w:r>
          </w:p>
        </w:tc>
        <w:tc>
          <w:tcPr>
            <w:tcW w:w="3455" w:type="dxa"/>
            <w:gridSpan w:val="6"/>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color w:val="3465A4"/>
                <w:sz w:val="22"/>
                <w:szCs w:val="22"/>
              </w:rPr>
            </w:pPr>
            <w:r>
              <w:rPr>
                <w:rFonts w:cs="Calibri" w:cstheme="minorHAnsi"/>
                <w:color w:val="3465A4"/>
                <w:sz w:val="22"/>
                <w:szCs w:val="22"/>
              </w:rPr>
              <w:t>Risco 4</w:t>
            </w:r>
          </w:p>
        </w:tc>
        <w:tc>
          <w:tcPr>
            <w:tcW w:w="3207" w:type="dxa"/>
            <w:gridSpan w:val="5"/>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Times New Roman" w:hAnsi="Times New Roman"/>
                <w:color w:val="3465A4"/>
                <w:sz w:val="22"/>
                <w:szCs w:val="22"/>
              </w:rPr>
            </w:pPr>
            <w:r>
              <w:rPr>
                <w:rFonts w:cs="Calibri" w:cstheme="minorHAnsi"/>
                <w:color w:val="3465A4"/>
                <w:sz w:val="22"/>
                <w:szCs w:val="22"/>
              </w:rPr>
              <w:t>-</w:t>
            </w:r>
          </w:p>
        </w:tc>
      </w:tr>
      <w:tr>
        <w:trPr/>
        <w:tc>
          <w:tcPr>
            <w:tcW w:w="9570" w:type="dxa"/>
            <w:gridSpan w:val="17"/>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numPr>
                <w:ilvl w:val="0"/>
                <w:numId w:val="0"/>
              </w:numPr>
              <w:spacing w:lineRule="auto" w:line="240"/>
              <w:ind w:left="720" w:hanging="0"/>
              <w:jc w:val="both"/>
              <w:rPr>
                <w:rFonts w:ascii="Times New Roman" w:hAnsi="Times New Roman"/>
                <w:sz w:val="22"/>
                <w:szCs w:val="22"/>
              </w:rPr>
            </w:pPr>
            <w:r>
              <w:rPr>
                <w:b/>
                <w:bCs/>
                <w:color w:val="FFFFFF"/>
                <w:sz w:val="22"/>
                <w:szCs w:val="22"/>
                <w:shd w:fill="auto" w:val="clear"/>
              </w:rPr>
              <w:t>5 -  Gravidade nas consequências</w:t>
            </w:r>
          </w:p>
        </w:tc>
      </w:tr>
      <w:tr>
        <w:trPr/>
        <w:tc>
          <w:tcPr>
            <w:tcW w:w="9570" w:type="dxa"/>
            <w:gridSpan w:val="17"/>
            <w:tcBorders>
              <w:top w:val="single" w:sz="4" w:space="0" w:color="000000"/>
              <w:left w:val="single" w:sz="4" w:space="0" w:color="000000"/>
              <w:bottom w:val="single" w:sz="4" w:space="0" w:color="000000"/>
              <w:right w:val="single" w:sz="4" w:space="0" w:color="000000"/>
            </w:tcBorders>
          </w:tcPr>
          <w:p>
            <w:pPr>
              <w:pStyle w:val="TableParagraph"/>
              <w:widowControl w:val="false"/>
              <w:ind w:left="70" w:hanging="0"/>
              <w:jc w:val="both"/>
              <w:rPr>
                <w:rFonts w:ascii="Times New Roman" w:hAnsi="Times New Roman"/>
                <w:color w:val="3465A4"/>
                <w:sz w:val="22"/>
                <w:szCs w:val="22"/>
              </w:rPr>
            </w:pPr>
            <w:r>
              <w:rPr>
                <w:rFonts w:cs="Calibri" w:cstheme="minorHAnsi"/>
                <w:color w:val="3465A4"/>
                <w:sz w:val="22"/>
                <w:szCs w:val="22"/>
                <w:lang w:val="pt-BR"/>
              </w:rPr>
              <w:t>Através da matriz, percebe-se que os Riscos 1, 4, 5 poderão comprometer o resultado da contratação. Desse modo esse risco deve ser mitigado por meio de ações de prevenção registradas nesse processo administrativo. Os Riscos 2 e 3 devem ser aceitos, providenciando-se as medidas de mitigação. (AVALIAR CASO A CASO)</w:t>
            </w:r>
          </w:p>
        </w:tc>
      </w:tr>
      <w:tr>
        <w:trPr/>
        <w:tc>
          <w:tcPr>
            <w:tcW w:w="9570" w:type="dxa"/>
            <w:gridSpan w:val="17"/>
            <w:tcBorders>
              <w:top w:val="single" w:sz="4" w:space="0" w:color="000000"/>
              <w:left w:val="single" w:sz="4" w:space="0" w:color="000000"/>
              <w:bottom w:val="single" w:sz="4" w:space="0" w:color="000000"/>
              <w:right w:val="single" w:sz="4" w:space="0" w:color="000000"/>
            </w:tcBorders>
            <w:shd w:fill="365F91" w:val="clear"/>
          </w:tcPr>
          <w:p>
            <w:pPr>
              <w:pStyle w:val="Normal"/>
              <w:widowControl w:val="false"/>
              <w:spacing w:lineRule="auto" w:line="240"/>
              <w:jc w:val="both"/>
              <w:rPr>
                <w:rFonts w:ascii="Times New Roman" w:hAnsi="Times New Roman"/>
                <w:sz w:val="22"/>
                <w:szCs w:val="22"/>
              </w:rPr>
            </w:pPr>
            <w:r>
              <w:rPr>
                <w:b/>
                <w:bCs/>
                <w:color w:val="FFFFFF"/>
                <w:sz w:val="22"/>
                <w:szCs w:val="22"/>
                <w:shd w:fill="auto" w:val="clear"/>
              </w:rPr>
              <w:t xml:space="preserve">8. </w:t>
            </w:r>
            <w:r>
              <w:rPr>
                <w:rFonts w:eastAsia="Times New Roman" w:cs="Times New Roman"/>
                <w:b/>
                <w:bCs/>
                <w:color w:val="FFFFFF"/>
                <w:kern w:val="0"/>
                <w:sz w:val="22"/>
                <w:szCs w:val="22"/>
                <w:shd w:fill="auto" w:val="clear"/>
                <w:lang w:val="pt-BR" w:eastAsia="en-US" w:bidi="ar-SA"/>
              </w:rPr>
              <w:t>Responsável</w:t>
            </w:r>
            <w:r>
              <w:rPr>
                <w:b/>
                <w:bCs/>
                <w:color w:val="FFFFFF"/>
                <w:sz w:val="22"/>
                <w:szCs w:val="22"/>
                <w:shd w:fill="auto" w:val="clear"/>
              </w:rPr>
              <w:t xml:space="preserve"> pela Confecção do ETP</w:t>
            </w:r>
          </w:p>
        </w:tc>
      </w:tr>
      <w:tr>
        <w:trPr>
          <w:trHeight w:val="690" w:hRule="atLeast"/>
        </w:trPr>
        <w:tc>
          <w:tcPr>
            <w:tcW w:w="9570" w:type="dxa"/>
            <w:gridSpan w:val="17"/>
            <w:tcBorders>
              <w:left w:val="single" w:sz="4" w:space="0" w:color="000000"/>
              <w:bottom w:val="single" w:sz="4" w:space="0" w:color="000000"/>
              <w:right w:val="single" w:sz="4" w:space="0" w:color="000000"/>
            </w:tcBorders>
          </w:tcPr>
          <w:p>
            <w:pPr>
              <w:pStyle w:val="Normal"/>
              <w:widowControl w:val="false"/>
              <w:spacing w:lineRule="auto" w:line="240"/>
              <w:jc w:val="both"/>
              <w:rPr>
                <w:sz w:val="22"/>
                <w:szCs w:val="22"/>
              </w:rPr>
            </w:pPr>
            <w:r>
              <w:rPr>
                <w:sz w:val="22"/>
                <w:szCs w:val="22"/>
                <w:lang w:val="pt-BR" w:eastAsia="en-US" w:bidi="ar-SA"/>
              </w:rPr>
              <w:t>Nome:</w:t>
            </w:r>
          </w:p>
          <w:p>
            <w:pPr>
              <w:pStyle w:val="Normal"/>
              <w:widowControl w:val="false"/>
              <w:spacing w:lineRule="auto" w:line="240"/>
              <w:jc w:val="both"/>
              <w:rPr>
                <w:sz w:val="22"/>
                <w:szCs w:val="22"/>
              </w:rPr>
            </w:pPr>
            <w:r>
              <w:rPr>
                <w:sz w:val="22"/>
                <w:szCs w:val="22"/>
                <w:lang w:val="pt-BR" w:eastAsia="en-US" w:bidi="ar-SA"/>
              </w:rPr>
              <w:t>Função:</w:t>
            </w:r>
          </w:p>
          <w:p>
            <w:pPr>
              <w:pStyle w:val="Normal"/>
              <w:widowControl w:val="false"/>
              <w:spacing w:lineRule="auto" w:line="240"/>
              <w:jc w:val="both"/>
              <w:rPr>
                <w:sz w:val="6"/>
                <w:szCs w:val="6"/>
              </w:rPr>
            </w:pPr>
            <w:r>
              <w:rPr>
                <w:sz w:val="22"/>
                <w:szCs w:val="22"/>
                <w:lang w:val="pt-BR" w:eastAsia="en-US" w:bidi="ar-SA"/>
              </w:rPr>
              <w:t xml:space="preserve">Assinatura:  </w:t>
            </w:r>
            <w:r>
              <w:rPr>
                <w:sz w:val="6"/>
                <w:szCs w:val="6"/>
                <w:lang w:val="pt-BR" w:eastAsia="en-US" w:bidi="ar-SA"/>
              </w:rPr>
              <w:t xml:space="preserve">                                                                                                                                                                                                                                                                      </w:t>
            </w:r>
            <w:r>
              <w:rPr>
                <w:sz w:val="22"/>
                <w:szCs w:val="22"/>
                <w:lang w:val="pt-BR" w:eastAsia="en-US" w:bidi="ar-SA"/>
              </w:rPr>
              <w:t>Data:</w:t>
            </w:r>
          </w:p>
        </w:tc>
      </w:tr>
    </w:tbl>
    <w:p>
      <w:pPr>
        <w:pStyle w:val="Normal"/>
        <w:spacing w:lineRule="auto" w:line="276" w:before="0" w:after="120"/>
        <w:ind w:right="-15" w:hanging="0"/>
        <w:rPr>
          <w:rFonts w:ascii="Times New Roman" w:hAnsi="Times New Roman"/>
          <w:sz w:val="22"/>
          <w:szCs w:val="22"/>
        </w:rPr>
      </w:pPr>
      <w:r>
        <w:rPr/>
      </w:r>
    </w:p>
    <w:sectPr>
      <w:headerReference w:type="default" r:id="rId15"/>
      <w:footerReference w:type="default" r:id="rId16"/>
      <w:type w:val="nextPage"/>
      <w:pgSz w:w="11906" w:h="16838"/>
      <w:pgMar w:left="1560" w:right="1133" w:gutter="0" w:header="709" w:top="2410" w:footer="709" w:bottom="141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t xml:space="preserve">Página </w:t>
    </w:r>
    <w:r>
      <w:rPr>
        <w:rStyle w:val="Fontepargpadro"/>
        <w:b/>
        <w:bCs/>
      </w:rPr>
      <w:fldChar w:fldCharType="begin"/>
    </w:r>
    <w:r>
      <w:rPr>
        <w:rStyle w:val="Fontepargpadro"/>
        <w:b/>
        <w:bCs/>
      </w:rPr>
      <w:instrText xml:space="preserve"> PAGE </w:instrText>
    </w:r>
    <w:r>
      <w:rPr>
        <w:rStyle w:val="Fontepargpadro"/>
        <w:b/>
        <w:bCs/>
      </w:rPr>
      <w:fldChar w:fldCharType="separate"/>
    </w:r>
    <w:r>
      <w:rPr>
        <w:rStyle w:val="Fontepargpadro"/>
        <w:b/>
        <w:bCs/>
      </w:rPr>
      <w:t>56</w:t>
    </w:r>
    <w:r>
      <w:rPr>
        <w:rStyle w:val="Fontepargpadro"/>
        <w:b/>
        <w:bCs/>
      </w:rPr>
      <w:fldChar w:fldCharType="end"/>
    </w:r>
    <w:r>
      <w:rPr/>
      <w:t xml:space="preserve"> de </w:t>
    </w:r>
    <w:r>
      <w:rPr>
        <w:rStyle w:val="Fontepargpadro"/>
        <w:b/>
        <w:bCs/>
      </w:rPr>
      <w:fldChar w:fldCharType="begin"/>
    </w:r>
    <w:r>
      <w:rPr>
        <w:rStyle w:val="Fontepargpadro"/>
        <w:b/>
        <w:bCs/>
      </w:rPr>
      <w:instrText xml:space="preserve"> NUMPAGES </w:instrText>
    </w:r>
    <w:r>
      <w:rPr>
        <w:rStyle w:val="Fontepargpadro"/>
        <w:b/>
        <w:bCs/>
      </w:rPr>
      <w:fldChar w:fldCharType="separate"/>
    </w:r>
    <w:r>
      <w:rPr>
        <w:rStyle w:val="Fontepargpadro"/>
        <w:b/>
        <w:bCs/>
      </w:rPr>
      <w:t>56</w:t>
    </w:r>
    <w:r>
      <w:rPr>
        <w:rStyle w:val="Fontepargpadro"/>
        <w:b/>
        <w:bCs/>
      </w:rP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dodocumento"/>
      <w:spacing w:before="71" w:after="0"/>
      <w:ind w:left="2278" w:hanging="0"/>
      <w:rPr>
        <w:lang w:val="pt-BR"/>
      </w:rPr>
    </w:pPr>
    <w:r>
      <w:drawing>
        <wp:anchor behindDoc="1" distT="0" distB="0" distL="0" distR="0" simplePos="0" locked="0" layoutInCell="0" allowOverlap="1" relativeHeight="5">
          <wp:simplePos x="0" y="0"/>
          <wp:positionH relativeFrom="page">
            <wp:posOffset>447675</wp:posOffset>
          </wp:positionH>
          <wp:positionV relativeFrom="paragraph">
            <wp:posOffset>53975</wp:posOffset>
          </wp:positionV>
          <wp:extent cx="951865" cy="943610"/>
          <wp:effectExtent l="0" t="0" r="0" b="0"/>
          <wp:wrapNone/>
          <wp:docPr id="1" name="image1.jpeg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Copia 1" descr=""/>
                  <pic:cNvPicPr>
                    <a:picLocks noChangeAspect="1" noChangeArrowheads="1"/>
                  </pic:cNvPicPr>
                </pic:nvPicPr>
                <pic:blipFill>
                  <a:blip r:embed="rId1"/>
                  <a:stretch>
                    <a:fillRect/>
                  </a:stretch>
                </pic:blipFill>
                <pic:spPr bwMode="auto">
                  <a:xfrm>
                    <a:off x="0" y="0"/>
                    <a:ext cx="951865" cy="943610"/>
                  </a:xfrm>
                  <a:prstGeom prst="rect">
                    <a:avLst/>
                  </a:prstGeom>
                </pic:spPr>
              </pic:pic>
            </a:graphicData>
          </a:graphic>
        </wp:anchor>
      </w:drawing>
    </w:r>
    <w:r>
      <w:rPr>
        <w:lang w:val="pt-BR"/>
      </w:rPr>
      <w:t>CÂMARA</w:t>
    </w:r>
    <w:r>
      <w:rPr>
        <w:spacing w:val="-3"/>
        <w:lang w:val="pt-BR"/>
      </w:rPr>
      <w:t xml:space="preserve"> </w:t>
    </w:r>
    <w:r>
      <w:rPr>
        <w:lang w:val="pt-BR"/>
      </w:rPr>
      <w:t>MUNICIPAL</w:t>
    </w:r>
    <w:r>
      <w:rPr>
        <w:spacing w:val="1"/>
        <w:lang w:val="pt-BR"/>
      </w:rPr>
      <w:t xml:space="preserve"> </w:t>
    </w:r>
    <w:r>
      <w:rPr>
        <w:lang w:val="pt-BR"/>
      </w:rPr>
      <w:t>DE</w:t>
    </w:r>
    <w:r>
      <w:rPr>
        <w:spacing w:val="-5"/>
        <w:lang w:val="pt-BR"/>
      </w:rPr>
      <w:t xml:space="preserve"> </w:t>
    </w:r>
    <w:r>
      <w:rPr>
        <w:lang w:val="pt-BR"/>
      </w:rPr>
      <w:t>SANTANA</w:t>
    </w:r>
    <w:r>
      <w:rPr>
        <w:spacing w:val="-1"/>
        <w:lang w:val="pt-BR"/>
      </w:rPr>
      <w:t xml:space="preserve"> </w:t>
    </w:r>
    <w:r>
      <w:rPr>
        <w:lang w:val="pt-BR"/>
      </w:rPr>
      <w:t>DA</w:t>
    </w:r>
    <w:r>
      <w:rPr>
        <w:spacing w:val="-4"/>
        <w:lang w:val="pt-BR"/>
      </w:rPr>
      <w:t xml:space="preserve"> </w:t>
    </w:r>
    <w:r>
      <w:rPr>
        <w:lang w:val="pt-BR"/>
      </w:rPr>
      <w:t>VARGEM</w:t>
    </w:r>
  </w:p>
  <w:p>
    <w:pPr>
      <w:pStyle w:val="Ttulo1"/>
      <w:spacing w:before="1" w:after="0"/>
      <w:rPr>
        <w:spacing w:val="-2"/>
        <w:sz w:val="22"/>
        <w:szCs w:val="22"/>
      </w:rPr>
    </w:pPr>
    <w:bookmarkStart w:id="0" w:name="PRAÇA_PREFEITO_HERNANI_PEREIRA_SCATOLINO"/>
    <w:bookmarkEnd w:id="0"/>
    <w:r>
      <w:rPr>
        <w:sz w:val="22"/>
        <w:szCs w:val="22"/>
        <w:lang w:val="pt-BR"/>
      </w:rPr>
      <w:t>PRAÇA</w:t>
    </w:r>
    <w:r>
      <w:rPr>
        <w:spacing w:val="-2"/>
        <w:sz w:val="22"/>
        <w:szCs w:val="22"/>
        <w:lang w:val="pt-BR"/>
      </w:rPr>
      <w:t xml:space="preserve"> </w:t>
    </w:r>
    <w:r>
      <w:rPr>
        <w:sz w:val="22"/>
        <w:szCs w:val="22"/>
        <w:lang w:val="pt-BR"/>
      </w:rPr>
      <w:t>PREFEITO HERNANI</w:t>
    </w:r>
    <w:r>
      <w:rPr>
        <w:spacing w:val="-4"/>
        <w:sz w:val="22"/>
        <w:szCs w:val="22"/>
        <w:lang w:val="pt-BR"/>
      </w:rPr>
      <w:t xml:space="preserve"> </w:t>
    </w:r>
    <w:r>
      <w:rPr>
        <w:sz w:val="22"/>
        <w:szCs w:val="22"/>
        <w:lang w:val="pt-BR"/>
      </w:rPr>
      <w:t>PEREIRA</w:t>
    </w:r>
    <w:r>
      <w:rPr>
        <w:spacing w:val="-1"/>
        <w:sz w:val="22"/>
        <w:szCs w:val="22"/>
        <w:lang w:val="pt-BR"/>
      </w:rPr>
      <w:t xml:space="preserve"> </w:t>
    </w:r>
    <w:r>
      <w:rPr>
        <w:sz w:val="22"/>
        <w:szCs w:val="22"/>
        <w:lang w:val="pt-BR"/>
      </w:rPr>
      <w:t>SCATOLINO</w:t>
    </w:r>
    <w:r>
      <w:rPr>
        <w:spacing w:val="-2"/>
        <w:sz w:val="22"/>
        <w:szCs w:val="22"/>
        <w:lang w:val="pt-BR"/>
      </w:rPr>
      <w:t xml:space="preserve"> </w:t>
    </w:r>
    <w:r>
      <w:rPr>
        <w:sz w:val="22"/>
        <w:szCs w:val="22"/>
        <w:lang w:val="pt-BR"/>
      </w:rPr>
      <w:t>Nº</w:t>
    </w:r>
    <w:r>
      <w:rPr>
        <w:spacing w:val="-1"/>
        <w:sz w:val="22"/>
        <w:szCs w:val="22"/>
        <w:lang w:val="pt-BR"/>
      </w:rPr>
      <w:t xml:space="preserve"> </w:t>
    </w:r>
    <w:r>
      <w:rPr>
        <w:sz w:val="22"/>
        <w:szCs w:val="22"/>
        <w:lang w:val="pt-BR"/>
      </w:rPr>
      <w:t>50</w:t>
    </w:r>
  </w:p>
  <w:p>
    <w:pPr>
      <w:pStyle w:val="Ttulo1"/>
      <w:spacing w:before="1" w:after="0"/>
      <w:rPr>
        <w:sz w:val="22"/>
        <w:szCs w:val="22"/>
      </w:rPr>
    </w:pPr>
    <w:r>
      <w:rPr>
        <w:sz w:val="22"/>
        <w:szCs w:val="22"/>
        <w:lang w:val="pt-BR"/>
      </w:rPr>
      <w:t>FONE</w:t>
    </w:r>
    <w:r>
      <w:rPr>
        <w:spacing w:val="-2"/>
        <w:sz w:val="22"/>
        <w:szCs w:val="22"/>
        <w:lang w:val="pt-BR"/>
      </w:rPr>
      <w:t xml:space="preserve"> </w:t>
    </w:r>
    <w:r>
      <w:rPr>
        <w:sz w:val="22"/>
        <w:szCs w:val="22"/>
        <w:lang w:val="pt-BR"/>
      </w:rPr>
      <w:t>(35)</w:t>
    </w:r>
    <w:r>
      <w:rPr>
        <w:spacing w:val="-3"/>
        <w:sz w:val="22"/>
        <w:szCs w:val="22"/>
        <w:lang w:val="pt-BR"/>
      </w:rPr>
      <w:t xml:space="preserve"> </w:t>
    </w:r>
    <w:r>
      <w:rPr>
        <w:sz w:val="22"/>
        <w:szCs w:val="22"/>
        <w:lang w:val="pt-BR"/>
      </w:rPr>
      <w:t>3858</w:t>
    </w:r>
    <w:r>
      <w:rPr>
        <w:spacing w:val="-2"/>
        <w:sz w:val="22"/>
        <w:szCs w:val="22"/>
        <w:lang w:val="pt-BR"/>
      </w:rPr>
      <w:t xml:space="preserve"> </w:t>
    </w:r>
    <w:r>
      <w:rPr>
        <w:sz w:val="22"/>
        <w:szCs w:val="22"/>
        <w:lang w:val="pt-BR"/>
      </w:rPr>
      <w:t>–</w:t>
    </w:r>
    <w:r>
      <w:rPr>
        <w:spacing w:val="-2"/>
        <w:sz w:val="22"/>
        <w:szCs w:val="22"/>
        <w:lang w:val="pt-BR"/>
      </w:rPr>
      <w:t xml:space="preserve"> </w:t>
    </w:r>
    <w:r>
      <w:rPr>
        <w:sz w:val="22"/>
        <w:szCs w:val="22"/>
        <w:lang w:val="pt-BR"/>
      </w:rPr>
      <w:t>1229</w:t>
    </w:r>
  </w:p>
  <w:p>
    <w:pPr>
      <w:pStyle w:val="Normal"/>
      <w:ind w:left="3514" w:right="1818" w:hanging="0"/>
      <w:jc w:val="center"/>
      <w:rPr>
        <w:b/>
        <w:b/>
      </w:rPr>
    </w:pPr>
    <w:r>
      <w:rPr>
        <w:b/>
        <w:lang w:val="pt-BR"/>
      </w:rPr>
      <w:t>Site:</w:t>
    </w:r>
    <w:r>
      <w:rPr>
        <w:b/>
        <w:spacing w:val="-4"/>
        <w:lang w:val="pt-BR"/>
      </w:rPr>
      <w:t xml:space="preserve"> </w:t>
    </w:r>
    <w:r>
      <w:rPr>
        <w:b/>
        <w:lang w:val="pt-BR"/>
      </w:rPr>
      <w:t>santanadavargem.mg.leg.br</w:t>
    </w:r>
  </w:p>
  <w:p>
    <w:pPr>
      <w:pStyle w:val="Corpodotexto"/>
      <w:spacing w:before="2" w:after="0"/>
      <w:jc w:val="center"/>
      <w:rPr>
        <w:b/>
        <w:b/>
        <w:spacing w:val="1"/>
        <w:sz w:val="24"/>
      </w:rPr>
    </w:pPr>
    <w:r>
      <w:rPr>
        <w:b/>
        <w:spacing w:val="1"/>
        <w:sz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pPr>
    <w:r>
      <w:rPr>
        <w:rStyle w:val="Fontepargpadro"/>
        <w:rFonts w:cs="Times New Roman"/>
        <w:b/>
        <w:sz w:val="32"/>
        <w:szCs w:val="32"/>
      </w:rPr>
      <w:t>CÂMARA MUNICIPAL DE SANTANA DA VARGEM</w:t>
    </w:r>
  </w:p>
  <w:p>
    <w:pPr>
      <w:pStyle w:val="Normal"/>
      <w:spacing w:lineRule="auto" w:line="240" w:before="0" w:after="0"/>
      <w:jc w:val="center"/>
      <w:rPr>
        <w:rFonts w:ascii="Times New Roman" w:hAnsi="Times New Roman" w:cs="Times New Roman"/>
        <w:b/>
        <w:b/>
      </w:rPr>
    </w:pPr>
    <w:r>
      <w:rPr>
        <w:rFonts w:cs="Times New Roman"/>
        <w:b/>
      </w:rPr>
      <w:t>PRAÇA PREFEITO HERNANI PEREIRA SCATOLINO Nº 50</w:t>
    </w:r>
  </w:p>
  <w:p>
    <w:pPr>
      <w:pStyle w:val="Normal"/>
      <w:spacing w:lineRule="auto" w:line="240" w:before="0" w:after="0"/>
      <w:jc w:val="center"/>
      <w:rPr>
        <w:rFonts w:ascii="Times New Roman" w:hAnsi="Times New Roman" w:cs="Times New Roman"/>
        <w:b/>
        <w:b/>
      </w:rPr>
    </w:pPr>
    <w:r>
      <w:rPr>
        <w:rFonts w:cs="Times New Roman"/>
        <w:b/>
      </w:rPr>
      <w:t>FONE (35) 3858 – 1229</w:t>
    </w:r>
  </w:p>
  <w:p>
    <w:pPr>
      <w:pStyle w:val="Normal"/>
      <w:spacing w:lineRule="auto" w:line="240" w:before="0" w:after="0"/>
      <w:jc w:val="center"/>
      <w:rPr/>
    </w:pPr>
    <w:r>
      <mc:AlternateContent>
        <mc:Choice Requires="wps">
          <w:drawing>
            <wp:anchor behindDoc="1" distT="12700" distB="12700" distL="12700" distR="12700" simplePos="0" locked="0" layoutInCell="0" allowOverlap="1" relativeHeight="57">
              <wp:simplePos x="0" y="0"/>
              <wp:positionH relativeFrom="column">
                <wp:posOffset>358775</wp:posOffset>
              </wp:positionH>
              <wp:positionV relativeFrom="paragraph">
                <wp:posOffset>423545</wp:posOffset>
              </wp:positionV>
              <wp:extent cx="5883275" cy="635"/>
              <wp:effectExtent l="12700" t="12700" r="12700" b="12700"/>
              <wp:wrapNone/>
              <wp:docPr id="5" name="Conector reto 4"/>
              <a:graphic xmlns:a="http://schemas.openxmlformats.org/drawingml/2006/main">
                <a:graphicData uri="http://schemas.microsoft.com/office/word/2010/wordprocessingShape">
                  <wps:wsp>
                    <wps:cNvSpPr/>
                    <wps:spPr>
                      <a:xfrm>
                        <a:off x="0" y="0"/>
                        <a:ext cx="5883120" cy="720"/>
                      </a:xfrm>
                      <a:prstGeom prst="straightConnector1">
                        <a:avLst/>
                      </a:prstGeom>
                      <a:noFill/>
                      <a:ln w="2556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to 4" path="m0,0l-2147483648,-2147483647e" stroked="t" o:allowincell="f" style="position:absolute;margin-left:28.25pt;margin-top:33.35pt;width:463.2pt;height:0pt;mso-wrap-style:none;v-text-anchor:middle" type="_x0000_t32">
              <v:fill o:detectmouseclick="t" on="false"/>
              <v:stroke color="black" weight="25560" joinstyle="round" endcap="flat"/>
              <w10:wrap type="none"/>
            </v:shape>
          </w:pict>
        </mc:Fallback>
      </mc:AlternateContent>
    </w:r>
    <w:r>
      <w:rPr>
        <w:rStyle w:val="Fontepargpadro"/>
        <w:rFonts w:cs="Times New Roman"/>
        <w:b/>
      </w:rPr>
      <w:t>Site: santanadavargem.mg.leg.br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vertAlign w:val="baseline"/>
        <w:position w:val="0"/>
        <w:sz w:val="22"/>
        <w:sz w:val="22"/>
        <w:u w:val="none"/>
        <w:color w:val="548DD4" w:themeColor="text2" w:themeTint="99"/>
      </w:rPr>
    </w:lvl>
    <w:lvl w:ilvl="1">
      <w:start w:val="1"/>
      <w:numFmt w:val="lowerRoman"/>
      <w:lvlText w:val="%2."/>
      <w:lvlJc w:val="right"/>
      <w:pPr>
        <w:tabs>
          <w:tab w:val="num" w:pos="0"/>
        </w:tabs>
        <w:ind w:left="1440" w:hanging="360"/>
      </w:pPr>
      <w:rPr>
        <w:vertAlign w:val="baseline"/>
        <w:position w:val="0"/>
        <w:sz w:val="22"/>
        <w:sz w:val="22"/>
        <w:u w:val="none"/>
      </w:rPr>
    </w:lvl>
    <w:lvl w:ilvl="2">
      <w:start w:val="1"/>
      <w:numFmt w:val="decimal"/>
      <w:lvlText w:val="%3."/>
      <w:lvlJc w:val="left"/>
      <w:pPr>
        <w:tabs>
          <w:tab w:val="num" w:pos="0"/>
        </w:tabs>
        <w:ind w:left="2160" w:hanging="360"/>
      </w:pPr>
      <w:rPr>
        <w:vertAlign w:val="baseline"/>
        <w:position w:val="0"/>
        <w:sz w:val="22"/>
        <w:sz w:val="22"/>
        <w:u w:val="none"/>
      </w:rPr>
    </w:lvl>
    <w:lvl w:ilvl="3">
      <w:start w:val="1"/>
      <w:numFmt w:val="lowerLetter"/>
      <w:lvlText w:val="%4."/>
      <w:lvlJc w:val="left"/>
      <w:pPr>
        <w:tabs>
          <w:tab w:val="num" w:pos="0"/>
        </w:tabs>
        <w:ind w:left="2880" w:hanging="360"/>
      </w:pPr>
      <w:rPr>
        <w:vertAlign w:val="baseline"/>
        <w:position w:val="0"/>
        <w:sz w:val="22"/>
        <w:sz w:val="22"/>
        <w:u w:val="none"/>
      </w:rPr>
    </w:lvl>
    <w:lvl w:ilvl="4">
      <w:start w:val="1"/>
      <w:numFmt w:val="lowerRoman"/>
      <w:lvlText w:val="%5."/>
      <w:lvlJc w:val="right"/>
      <w:pPr>
        <w:tabs>
          <w:tab w:val="num" w:pos="0"/>
        </w:tabs>
        <w:ind w:left="3600" w:hanging="360"/>
      </w:pPr>
      <w:rPr>
        <w:vertAlign w:val="baseline"/>
        <w:position w:val="0"/>
        <w:sz w:val="22"/>
        <w:sz w:val="22"/>
        <w:u w:val="none"/>
      </w:rPr>
    </w:lvl>
    <w:lvl w:ilvl="5">
      <w:start w:val="1"/>
      <w:numFmt w:val="decimal"/>
      <w:lvlText w:val="%6."/>
      <w:lvlJc w:val="left"/>
      <w:pPr>
        <w:tabs>
          <w:tab w:val="num" w:pos="0"/>
        </w:tabs>
        <w:ind w:left="4320" w:hanging="360"/>
      </w:pPr>
      <w:rPr>
        <w:vertAlign w:val="baseline"/>
        <w:position w:val="0"/>
        <w:sz w:val="22"/>
        <w:sz w:val="22"/>
        <w:u w:val="none"/>
      </w:rPr>
    </w:lvl>
    <w:lvl w:ilvl="6">
      <w:start w:val="1"/>
      <w:numFmt w:val="lowerLetter"/>
      <w:lvlText w:val="%7."/>
      <w:lvlJc w:val="left"/>
      <w:pPr>
        <w:tabs>
          <w:tab w:val="num" w:pos="0"/>
        </w:tabs>
        <w:ind w:left="5040" w:hanging="360"/>
      </w:pPr>
      <w:rPr>
        <w:vertAlign w:val="baseline"/>
        <w:position w:val="0"/>
        <w:sz w:val="22"/>
        <w:sz w:val="22"/>
        <w:u w:val="none"/>
      </w:rPr>
    </w:lvl>
    <w:lvl w:ilvl="7">
      <w:start w:val="1"/>
      <w:numFmt w:val="lowerRoman"/>
      <w:lvlText w:val="%8."/>
      <w:lvlJc w:val="right"/>
      <w:pPr>
        <w:tabs>
          <w:tab w:val="num" w:pos="0"/>
        </w:tabs>
        <w:ind w:left="5760" w:hanging="360"/>
      </w:pPr>
      <w:rPr>
        <w:vertAlign w:val="baseline"/>
        <w:position w:val="0"/>
        <w:sz w:val="22"/>
        <w:sz w:val="22"/>
        <w:u w:val="none"/>
      </w:rPr>
    </w:lvl>
    <w:lvl w:ilvl="8">
      <w:start w:val="1"/>
      <w:numFmt w:val="decimal"/>
      <w:lvlText w:val="%9."/>
      <w:lvlJc w:val="left"/>
      <w:pPr>
        <w:tabs>
          <w:tab w:val="num" w:pos="0"/>
        </w:tabs>
        <w:ind w:left="6480" w:hanging="360"/>
      </w:pPr>
      <w:rPr>
        <w:vertAlign w:val="baseline"/>
        <w:position w:val="0"/>
        <w:sz w:val="22"/>
        <w:sz w:val="22"/>
        <w:u w:val="none"/>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lowerLetter"/>
      <w:lvlText w:val="%1)"/>
      <w:lvlJc w:val="left"/>
      <w:pPr>
        <w:tabs>
          <w:tab w:val="num" w:pos="0"/>
        </w:tabs>
        <w:ind w:left="765"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360" w:hanging="360"/>
      </w:pPr>
      <w:rPr>
        <w:color w:val="FFFFFF"/>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3"/>
      <w:numFmt w:val="decimal"/>
      <w:lvlText w:val="%1"/>
      <w:lvlJc w:val="left"/>
      <w:pPr>
        <w:tabs>
          <w:tab w:val="num" w:pos="0"/>
        </w:tabs>
        <w:ind w:left="360" w:hanging="360"/>
      </w:pPr>
      <w:rPr>
        <w:sz w:val="22"/>
        <w:i w:val="false"/>
        <w:b/>
        <w:kern w:val="0"/>
        <w:shd w:fill="auto" w:val="clear"/>
        <w:szCs w:val="22"/>
        <w:bCs/>
        <w:rFonts w:ascii="Times New Roman" w:hAnsi="Times New Roman" w:eastAsia="Times New Roman" w:cs="Times New Roman"/>
        <w:color w:val="FFFFFF"/>
        <w:lang w:val="pt-BR" w:eastAsia="en-US" w:bidi="ar-SA"/>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7"/>
      <w:numFmt w:val="decimal"/>
      <w:lvlText w:val="%1"/>
      <w:lvlJc w:val="left"/>
      <w:pPr>
        <w:tabs>
          <w:tab w:val="num" w:pos="0"/>
        </w:tabs>
        <w:ind w:left="1462" w:hanging="185"/>
      </w:pPr>
      <w:rPr>
        <w:sz w:val="22"/>
        <w:b/>
        <w:szCs w:val="22"/>
        <w:bCs/>
        <w:w w:val="100"/>
        <w:rFonts w:ascii="Arial" w:hAnsi="Arial" w:eastAsia="Arial" w:cs="Arial"/>
        <w:color w:val="0000FF"/>
      </w:rPr>
    </w:lvl>
    <w:lvl w:ilvl="1">
      <w:start w:val="20"/>
      <w:numFmt w:val="decimal"/>
      <w:lvlText w:val="%1.%2"/>
      <w:lvlJc w:val="left"/>
      <w:pPr>
        <w:tabs>
          <w:tab w:val="num" w:pos="0"/>
        </w:tabs>
        <w:ind w:left="133" w:hanging="440"/>
      </w:pPr>
      <w:rPr>
        <w:sz w:val="20"/>
        <w:i w:val="false"/>
        <w:b/>
        <w:szCs w:val="20"/>
        <w:bCs/>
        <w:w w:val="100"/>
        <w:rFonts w:ascii="Arial" w:hAnsi="Arial" w:eastAsia="Arial" w:cs="Arial"/>
        <w:color w:val="auto"/>
      </w:rPr>
    </w:lvl>
    <w:lvl w:ilvl="2">
      <w:start w:val="1"/>
      <w:numFmt w:val="lowerLetter"/>
      <w:lvlText w:val="%3)"/>
      <w:lvlJc w:val="left"/>
      <w:pPr>
        <w:tabs>
          <w:tab w:val="num" w:pos="0"/>
        </w:tabs>
        <w:ind w:left="3828" w:hanging="567"/>
      </w:pPr>
      <w:rPr>
        <w:sz w:val="20"/>
        <w:spacing w:val="-1"/>
        <w:i w:val="false"/>
        <w:b/>
        <w:szCs w:val="20"/>
        <w:bCs/>
        <w:w w:val="100"/>
        <w:rFonts w:ascii="Arial" w:hAnsi="Arial" w:eastAsia="" w:cs="Arial" w:eastAsiaTheme="minorEastAsia"/>
      </w:rPr>
    </w:lvl>
    <w:lvl w:ilvl="3">
      <w:start w:val="0"/>
      <w:numFmt w:val="bullet"/>
      <w:lvlText w:val=""/>
      <w:lvlJc w:val="left"/>
      <w:pPr>
        <w:tabs>
          <w:tab w:val="num" w:pos="0"/>
        </w:tabs>
        <w:ind w:left="1515" w:hanging="567"/>
      </w:pPr>
      <w:rPr>
        <w:rFonts w:ascii="Symbol" w:hAnsi="Symbol" w:cs="Symbol" w:hint="default"/>
      </w:rPr>
    </w:lvl>
    <w:lvl w:ilvl="4">
      <w:start w:val="0"/>
      <w:numFmt w:val="bullet"/>
      <w:lvlText w:val=""/>
      <w:lvlJc w:val="left"/>
      <w:pPr>
        <w:tabs>
          <w:tab w:val="num" w:pos="0"/>
        </w:tabs>
        <w:ind w:left="2711" w:hanging="567"/>
      </w:pPr>
      <w:rPr>
        <w:rFonts w:ascii="Symbol" w:hAnsi="Symbol" w:cs="Symbol" w:hint="default"/>
      </w:rPr>
    </w:lvl>
    <w:lvl w:ilvl="5">
      <w:start w:val="0"/>
      <w:numFmt w:val="bullet"/>
      <w:lvlText w:val=""/>
      <w:lvlJc w:val="left"/>
      <w:pPr>
        <w:tabs>
          <w:tab w:val="num" w:pos="0"/>
        </w:tabs>
        <w:ind w:left="3907" w:hanging="567"/>
      </w:pPr>
      <w:rPr>
        <w:rFonts w:ascii="Symbol" w:hAnsi="Symbol" w:cs="Symbol" w:hint="default"/>
      </w:rPr>
    </w:lvl>
    <w:lvl w:ilvl="6">
      <w:start w:val="0"/>
      <w:numFmt w:val="bullet"/>
      <w:lvlText w:val=""/>
      <w:lvlJc w:val="left"/>
      <w:pPr>
        <w:tabs>
          <w:tab w:val="num" w:pos="0"/>
        </w:tabs>
        <w:ind w:left="5103" w:hanging="567"/>
      </w:pPr>
      <w:rPr>
        <w:rFonts w:ascii="Symbol" w:hAnsi="Symbol" w:cs="Symbol" w:hint="default"/>
      </w:rPr>
    </w:lvl>
    <w:lvl w:ilvl="7">
      <w:start w:val="0"/>
      <w:numFmt w:val="bullet"/>
      <w:lvlText w:val=""/>
      <w:lvlJc w:val="left"/>
      <w:pPr>
        <w:tabs>
          <w:tab w:val="num" w:pos="0"/>
        </w:tabs>
        <w:ind w:left="6299" w:hanging="567"/>
      </w:pPr>
      <w:rPr>
        <w:rFonts w:ascii="Symbol" w:hAnsi="Symbol" w:cs="Symbol" w:hint="default"/>
      </w:rPr>
    </w:lvl>
    <w:lvl w:ilvl="8">
      <w:start w:val="0"/>
      <w:numFmt w:val="bullet"/>
      <w:lvlText w:val=""/>
      <w:lvlJc w:val="left"/>
      <w:pPr>
        <w:tabs>
          <w:tab w:val="num" w:pos="0"/>
        </w:tabs>
        <w:ind w:left="7494" w:hanging="567"/>
      </w:pPr>
      <w:rPr>
        <w:rFonts w:ascii="Symbol" w:hAnsi="Symbol" w:cs="Symbol" w:hint="default"/>
      </w:rPr>
    </w:lvl>
  </w:abstractNum>
  <w:abstractNum w:abstractNumId="9">
    <w:lvl w:ilvl="0">
      <w:start w:val="7"/>
      <w:numFmt w:val="decimal"/>
      <w:lvlText w:val="%1"/>
      <w:lvlJc w:val="left"/>
      <w:pPr>
        <w:tabs>
          <w:tab w:val="num" w:pos="0"/>
        </w:tabs>
        <w:ind w:left="1462" w:hanging="185"/>
      </w:pPr>
      <w:rPr>
        <w:sz w:val="22"/>
        <w:b/>
        <w:szCs w:val="22"/>
        <w:bCs/>
        <w:w w:val="100"/>
        <w:rFonts w:ascii="Arial" w:hAnsi="Arial" w:eastAsia="Arial" w:cs="Arial"/>
        <w:color w:val="0000FF"/>
      </w:rPr>
    </w:lvl>
    <w:lvl w:ilvl="1">
      <w:start w:val="19"/>
      <w:numFmt w:val="decimal"/>
      <w:lvlText w:val="%1.%2"/>
      <w:lvlJc w:val="left"/>
      <w:pPr>
        <w:tabs>
          <w:tab w:val="num" w:pos="0"/>
        </w:tabs>
        <w:ind w:left="133" w:hanging="440"/>
      </w:pPr>
      <w:rPr>
        <w:sz w:val="20"/>
        <w:i w:val="false"/>
        <w:b/>
        <w:szCs w:val="20"/>
        <w:bCs/>
        <w:w w:val="100"/>
        <w:rFonts w:ascii="Arial" w:hAnsi="Arial" w:eastAsia="Arial" w:cs="Arial"/>
        <w:color w:val="auto"/>
      </w:rPr>
    </w:lvl>
    <w:lvl w:ilvl="2">
      <w:start w:val="1"/>
      <w:numFmt w:val="lowerLetter"/>
      <w:lvlText w:val="%3)"/>
      <w:lvlJc w:val="left"/>
      <w:pPr>
        <w:tabs>
          <w:tab w:val="num" w:pos="0"/>
        </w:tabs>
        <w:ind w:left="3828" w:hanging="567"/>
      </w:pPr>
      <w:rPr>
        <w:sz w:val="22"/>
        <w:spacing w:val="-1"/>
        <w:i w:val="false"/>
        <w:b/>
        <w:szCs w:val="22"/>
        <w:bCs/>
        <w:w w:val="100"/>
        <w:rFonts w:ascii="Arial" w:hAnsi="Arial" w:eastAsia="" w:cs="Arial" w:eastAsiaTheme="minorEastAsia"/>
      </w:rPr>
    </w:lvl>
    <w:lvl w:ilvl="3">
      <w:start w:val="0"/>
      <w:numFmt w:val="bullet"/>
      <w:lvlText w:val=""/>
      <w:lvlJc w:val="left"/>
      <w:pPr>
        <w:tabs>
          <w:tab w:val="num" w:pos="0"/>
        </w:tabs>
        <w:ind w:left="1515" w:hanging="567"/>
      </w:pPr>
      <w:rPr>
        <w:rFonts w:ascii="Symbol" w:hAnsi="Symbol" w:cs="Symbol" w:hint="default"/>
      </w:rPr>
    </w:lvl>
    <w:lvl w:ilvl="4">
      <w:start w:val="0"/>
      <w:numFmt w:val="bullet"/>
      <w:lvlText w:val=""/>
      <w:lvlJc w:val="left"/>
      <w:pPr>
        <w:tabs>
          <w:tab w:val="num" w:pos="0"/>
        </w:tabs>
        <w:ind w:left="2711" w:hanging="567"/>
      </w:pPr>
      <w:rPr>
        <w:rFonts w:ascii="Symbol" w:hAnsi="Symbol" w:cs="Symbol" w:hint="default"/>
      </w:rPr>
    </w:lvl>
    <w:lvl w:ilvl="5">
      <w:start w:val="0"/>
      <w:numFmt w:val="bullet"/>
      <w:lvlText w:val=""/>
      <w:lvlJc w:val="left"/>
      <w:pPr>
        <w:tabs>
          <w:tab w:val="num" w:pos="0"/>
        </w:tabs>
        <w:ind w:left="3907" w:hanging="567"/>
      </w:pPr>
      <w:rPr>
        <w:rFonts w:ascii="Symbol" w:hAnsi="Symbol" w:cs="Symbol" w:hint="default"/>
      </w:rPr>
    </w:lvl>
    <w:lvl w:ilvl="6">
      <w:start w:val="0"/>
      <w:numFmt w:val="bullet"/>
      <w:lvlText w:val=""/>
      <w:lvlJc w:val="left"/>
      <w:pPr>
        <w:tabs>
          <w:tab w:val="num" w:pos="0"/>
        </w:tabs>
        <w:ind w:left="5103" w:hanging="567"/>
      </w:pPr>
      <w:rPr>
        <w:rFonts w:ascii="Symbol" w:hAnsi="Symbol" w:cs="Symbol" w:hint="default"/>
      </w:rPr>
    </w:lvl>
    <w:lvl w:ilvl="7">
      <w:start w:val="0"/>
      <w:numFmt w:val="bullet"/>
      <w:lvlText w:val=""/>
      <w:lvlJc w:val="left"/>
      <w:pPr>
        <w:tabs>
          <w:tab w:val="num" w:pos="0"/>
        </w:tabs>
        <w:ind w:left="6299" w:hanging="567"/>
      </w:pPr>
      <w:rPr>
        <w:rFonts w:ascii="Symbol" w:hAnsi="Symbol" w:cs="Symbol" w:hint="default"/>
      </w:rPr>
    </w:lvl>
    <w:lvl w:ilvl="8">
      <w:start w:val="0"/>
      <w:numFmt w:val="bullet"/>
      <w:lvlText w:val=""/>
      <w:lvlJc w:val="left"/>
      <w:pPr>
        <w:tabs>
          <w:tab w:val="num" w:pos="0"/>
        </w:tabs>
        <w:ind w:left="7494" w:hanging="567"/>
      </w:pPr>
      <w:rPr>
        <w:rFonts w:ascii="Symbol" w:hAnsi="Symbol" w:cs="Symbol" w:hint="default"/>
      </w:rPr>
    </w:lvl>
  </w:abstractNum>
  <w:abstractNum w:abstractNumId="10">
    <w:lvl w:ilvl="0">
      <w:start w:val="6"/>
      <w:numFmt w:val="decimal"/>
      <w:lvlText w:val="%1"/>
      <w:lvlJc w:val="left"/>
      <w:pPr>
        <w:tabs>
          <w:tab w:val="num" w:pos="0"/>
        </w:tabs>
        <w:ind w:left="1462" w:hanging="185"/>
      </w:pPr>
      <w:rPr>
        <w:sz w:val="20"/>
        <w:b/>
        <w:szCs w:val="20"/>
        <w:bCs/>
        <w:w w:val="100"/>
        <w:rFonts w:ascii="Arial" w:hAnsi="Arial" w:eastAsia="Arial" w:cs="Arial"/>
      </w:rPr>
    </w:lvl>
    <w:lvl w:ilvl="1">
      <w:start w:val="25"/>
      <w:numFmt w:val="decimal"/>
      <w:lvlText w:val="%1.%2"/>
      <w:lvlJc w:val="left"/>
      <w:pPr>
        <w:tabs>
          <w:tab w:val="num" w:pos="0"/>
        </w:tabs>
        <w:ind w:left="133" w:hanging="440"/>
      </w:pPr>
      <w:rPr>
        <w:sz w:val="20"/>
        <w:i w:val="false"/>
        <w:b/>
        <w:szCs w:val="20"/>
        <w:bCs/>
        <w:w w:val="100"/>
        <w:rFonts w:ascii="Arial" w:hAnsi="Arial" w:eastAsia="Arial" w:cs="Arial"/>
      </w:rPr>
    </w:lvl>
    <w:lvl w:ilvl="2">
      <w:start w:val="1"/>
      <w:numFmt w:val="lowerLetter"/>
      <w:lvlText w:val="%3)"/>
      <w:lvlJc w:val="left"/>
      <w:pPr>
        <w:tabs>
          <w:tab w:val="num" w:pos="0"/>
        </w:tabs>
        <w:ind w:left="2127" w:hanging="567"/>
      </w:pPr>
      <w:rPr>
        <w:sz w:val="19"/>
        <w:spacing w:val="-1"/>
        <w:i w:val="false"/>
        <w:b/>
        <w:szCs w:val="19"/>
        <w:bCs/>
        <w:w w:val="100"/>
        <w:rFonts w:ascii="Arial" w:hAnsi="Arial" w:eastAsia="" w:cs="Arial" w:eastAsiaTheme="minorEastAsia"/>
      </w:rPr>
    </w:lvl>
    <w:lvl w:ilvl="3">
      <w:start w:val="0"/>
      <w:numFmt w:val="bullet"/>
      <w:lvlText w:val=""/>
      <w:lvlJc w:val="left"/>
      <w:pPr>
        <w:tabs>
          <w:tab w:val="num" w:pos="0"/>
        </w:tabs>
        <w:ind w:left="1515" w:hanging="567"/>
      </w:pPr>
      <w:rPr>
        <w:rFonts w:ascii="Symbol" w:hAnsi="Symbol" w:cs="Symbol" w:hint="default"/>
      </w:rPr>
    </w:lvl>
    <w:lvl w:ilvl="4">
      <w:start w:val="0"/>
      <w:numFmt w:val="bullet"/>
      <w:lvlText w:val=""/>
      <w:lvlJc w:val="left"/>
      <w:pPr>
        <w:tabs>
          <w:tab w:val="num" w:pos="0"/>
        </w:tabs>
        <w:ind w:left="2711" w:hanging="567"/>
      </w:pPr>
      <w:rPr>
        <w:rFonts w:ascii="Symbol" w:hAnsi="Symbol" w:cs="Symbol" w:hint="default"/>
      </w:rPr>
    </w:lvl>
    <w:lvl w:ilvl="5">
      <w:start w:val="0"/>
      <w:numFmt w:val="bullet"/>
      <w:lvlText w:val=""/>
      <w:lvlJc w:val="left"/>
      <w:pPr>
        <w:tabs>
          <w:tab w:val="num" w:pos="0"/>
        </w:tabs>
        <w:ind w:left="3907" w:hanging="567"/>
      </w:pPr>
      <w:rPr>
        <w:rFonts w:ascii="Symbol" w:hAnsi="Symbol" w:cs="Symbol" w:hint="default"/>
      </w:rPr>
    </w:lvl>
    <w:lvl w:ilvl="6">
      <w:start w:val="0"/>
      <w:numFmt w:val="bullet"/>
      <w:lvlText w:val=""/>
      <w:lvlJc w:val="left"/>
      <w:pPr>
        <w:tabs>
          <w:tab w:val="num" w:pos="0"/>
        </w:tabs>
        <w:ind w:left="5103" w:hanging="567"/>
      </w:pPr>
      <w:rPr>
        <w:rFonts w:ascii="Symbol" w:hAnsi="Symbol" w:cs="Symbol" w:hint="default"/>
      </w:rPr>
    </w:lvl>
    <w:lvl w:ilvl="7">
      <w:start w:val="0"/>
      <w:numFmt w:val="bullet"/>
      <w:lvlText w:val=""/>
      <w:lvlJc w:val="left"/>
      <w:pPr>
        <w:tabs>
          <w:tab w:val="num" w:pos="0"/>
        </w:tabs>
        <w:ind w:left="6299" w:hanging="567"/>
      </w:pPr>
      <w:rPr>
        <w:rFonts w:ascii="Symbol" w:hAnsi="Symbol" w:cs="Symbol" w:hint="default"/>
      </w:rPr>
    </w:lvl>
    <w:lvl w:ilvl="8">
      <w:start w:val="0"/>
      <w:numFmt w:val="bullet"/>
      <w:lvlText w:val=""/>
      <w:lvlJc w:val="left"/>
      <w:pPr>
        <w:tabs>
          <w:tab w:val="num" w:pos="0"/>
        </w:tabs>
        <w:ind w:left="7494" w:hanging="567"/>
      </w:pPr>
      <w:rPr>
        <w:rFonts w:ascii="Symbol" w:hAnsi="Symbol" w:cs="Symbol" w:hint="default"/>
      </w:rPr>
    </w:lvl>
  </w:abstractNum>
  <w:abstractNum w:abstractNumId="11">
    <w:lvl w:ilvl="0">
      <w:start w:val="8"/>
      <w:numFmt w:val="decimal"/>
      <w:lvlText w:val="%1"/>
      <w:lvlJc w:val="left"/>
      <w:pPr>
        <w:tabs>
          <w:tab w:val="num" w:pos="0"/>
        </w:tabs>
        <w:ind w:left="435" w:hanging="435"/>
      </w:pPr>
      <w:rPr>
        <w:sz w:val="22"/>
        <w:b/>
        <w:szCs w:val="22"/>
        <w:color w:val="0000FF"/>
      </w:rPr>
    </w:lvl>
    <w:lvl w:ilvl="1">
      <w:start w:val="1"/>
      <w:numFmt w:val="decimal"/>
      <w:lvlText w:val="%1.%2"/>
      <w:lvlJc w:val="left"/>
      <w:pPr>
        <w:tabs>
          <w:tab w:val="num" w:pos="0"/>
        </w:tabs>
        <w:ind w:left="719" w:hanging="435"/>
      </w:pPr>
      <w:rPr>
        <w:sz w:val="20"/>
        <w:i w:val="false"/>
        <w:b/>
        <w:szCs w:val="20"/>
      </w:rPr>
    </w:lvl>
    <w:lvl w:ilvl="2">
      <w:start w:val="1"/>
      <w:numFmt w:val="decimal"/>
      <w:lvlText w:val="%1.%2.%3"/>
      <w:lvlJc w:val="left"/>
      <w:pPr>
        <w:tabs>
          <w:tab w:val="num" w:pos="0"/>
        </w:tabs>
        <w:ind w:left="1428" w:hanging="720"/>
      </w:pPr>
      <w:rPr>
        <w:sz w:val="20"/>
        <w:i w:val="false"/>
        <w:b/>
        <w:szCs w:val="20"/>
      </w:rPr>
    </w:lvl>
    <w:lvl w:ilvl="3">
      <w:start w:val="1"/>
      <w:numFmt w:val="decimal"/>
      <w:lvlText w:val="%1.%2.%3.%4"/>
      <w:lvlJc w:val="left"/>
      <w:pPr>
        <w:tabs>
          <w:tab w:val="num" w:pos="0"/>
        </w:tabs>
        <w:ind w:left="1782" w:hanging="720"/>
      </w:pPr>
      <w:rPr>
        <w:sz w:val="20"/>
        <w:b/>
        <w:szCs w:val="20"/>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564" w:hanging="144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632" w:hanging="1800"/>
      </w:pPr>
      <w:rPr>
        <w:b/>
      </w:rPr>
    </w:lvl>
  </w:abstractNum>
  <w:abstractNum w:abstractNumId="12">
    <w:lvl w:ilvl="0">
      <w:start w:val="1"/>
      <w:numFmt w:val="upperRoman"/>
      <w:lvlText w:val="%1"/>
      <w:lvlJc w:val="left"/>
      <w:pPr>
        <w:tabs>
          <w:tab w:val="num" w:pos="0"/>
        </w:tabs>
        <w:ind w:left="153" w:hanging="125"/>
      </w:pPr>
      <w:rPr>
        <w:sz w:val="20"/>
        <w:b/>
        <w:szCs w:val="20"/>
        <w:bCs/>
        <w:w w:val="100"/>
        <w:rFonts w:ascii="Arial" w:hAnsi="Arial" w:eastAsia="Arial" w:cs="Arial"/>
      </w:rPr>
    </w:lvl>
    <w:lvl w:ilvl="1">
      <w:start w:val="0"/>
      <w:numFmt w:val="bullet"/>
      <w:lvlText w:val=""/>
      <w:lvlJc w:val="left"/>
      <w:pPr>
        <w:tabs>
          <w:tab w:val="num" w:pos="0"/>
        </w:tabs>
        <w:ind w:left="1134" w:hanging="125"/>
      </w:pPr>
      <w:rPr>
        <w:rFonts w:ascii="Symbol" w:hAnsi="Symbol" w:cs="Symbol" w:hint="default"/>
      </w:rPr>
    </w:lvl>
    <w:lvl w:ilvl="2">
      <w:start w:val="0"/>
      <w:numFmt w:val="bullet"/>
      <w:lvlText w:val=""/>
      <w:lvlJc w:val="left"/>
      <w:pPr>
        <w:tabs>
          <w:tab w:val="num" w:pos="0"/>
        </w:tabs>
        <w:ind w:left="2109" w:hanging="125"/>
      </w:pPr>
      <w:rPr>
        <w:rFonts w:ascii="Symbol" w:hAnsi="Symbol" w:cs="Symbol" w:hint="default"/>
      </w:rPr>
    </w:lvl>
    <w:lvl w:ilvl="3">
      <w:start w:val="0"/>
      <w:numFmt w:val="bullet"/>
      <w:lvlText w:val=""/>
      <w:lvlJc w:val="left"/>
      <w:pPr>
        <w:tabs>
          <w:tab w:val="num" w:pos="0"/>
        </w:tabs>
        <w:ind w:left="3083" w:hanging="125"/>
      </w:pPr>
      <w:rPr>
        <w:rFonts w:ascii="Symbol" w:hAnsi="Symbol" w:cs="Symbol" w:hint="default"/>
      </w:rPr>
    </w:lvl>
    <w:lvl w:ilvl="4">
      <w:start w:val="0"/>
      <w:numFmt w:val="bullet"/>
      <w:lvlText w:val=""/>
      <w:lvlJc w:val="left"/>
      <w:pPr>
        <w:tabs>
          <w:tab w:val="num" w:pos="0"/>
        </w:tabs>
        <w:ind w:left="4058" w:hanging="125"/>
      </w:pPr>
      <w:rPr>
        <w:rFonts w:ascii="Symbol" w:hAnsi="Symbol" w:cs="Symbol" w:hint="default"/>
      </w:rPr>
    </w:lvl>
    <w:lvl w:ilvl="5">
      <w:start w:val="0"/>
      <w:numFmt w:val="bullet"/>
      <w:lvlText w:val=""/>
      <w:lvlJc w:val="left"/>
      <w:pPr>
        <w:tabs>
          <w:tab w:val="num" w:pos="0"/>
        </w:tabs>
        <w:ind w:left="5033" w:hanging="125"/>
      </w:pPr>
      <w:rPr>
        <w:rFonts w:ascii="Symbol" w:hAnsi="Symbol" w:cs="Symbol" w:hint="default"/>
      </w:rPr>
    </w:lvl>
    <w:lvl w:ilvl="6">
      <w:start w:val="0"/>
      <w:numFmt w:val="bullet"/>
      <w:lvlText w:val=""/>
      <w:lvlJc w:val="left"/>
      <w:pPr>
        <w:tabs>
          <w:tab w:val="num" w:pos="0"/>
        </w:tabs>
        <w:ind w:left="6007" w:hanging="125"/>
      </w:pPr>
      <w:rPr>
        <w:rFonts w:ascii="Symbol" w:hAnsi="Symbol" w:cs="Symbol" w:hint="default"/>
      </w:rPr>
    </w:lvl>
    <w:lvl w:ilvl="7">
      <w:start w:val="0"/>
      <w:numFmt w:val="bullet"/>
      <w:lvlText w:val=""/>
      <w:lvlJc w:val="left"/>
      <w:pPr>
        <w:tabs>
          <w:tab w:val="num" w:pos="0"/>
        </w:tabs>
        <w:ind w:left="6982" w:hanging="125"/>
      </w:pPr>
      <w:rPr>
        <w:rFonts w:ascii="Symbol" w:hAnsi="Symbol" w:cs="Symbol" w:hint="default"/>
      </w:rPr>
    </w:lvl>
    <w:lvl w:ilvl="8">
      <w:start w:val="0"/>
      <w:numFmt w:val="bullet"/>
      <w:lvlText w:val=""/>
      <w:lvlJc w:val="left"/>
      <w:pPr>
        <w:tabs>
          <w:tab w:val="num" w:pos="0"/>
        </w:tabs>
        <w:ind w:left="7957" w:hanging="125"/>
      </w:pPr>
      <w:rPr>
        <w:rFonts w:ascii="Symbol" w:hAnsi="Symbol" w:cs="Symbol" w:hint="default"/>
      </w:rPr>
    </w:lvl>
  </w:abstractNum>
  <w:abstractNum w:abstractNumId="1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4">
    <w:lvl w:ilvl="0">
      <w:start w:val="2"/>
      <w:numFmt w:val="decimal"/>
      <w:lvlText w:val="%1"/>
      <w:lvlJc w:val="left"/>
      <w:pPr>
        <w:tabs>
          <w:tab w:val="num" w:pos="0"/>
        </w:tabs>
        <w:ind w:left="360" w:hanging="360"/>
      </w:pPr>
      <w:rPr>
        <w:color w:val="FFFFFF" w:themeColor="background1"/>
      </w:rPr>
    </w:lvl>
    <w:lvl w:ilvl="1">
      <w:start w:val="1"/>
      <w:numFmt w:val="decimal"/>
      <w:lvlText w:val="%1.%2"/>
      <w:lvlJc w:val="left"/>
      <w:pPr>
        <w:tabs>
          <w:tab w:val="num" w:pos="0"/>
        </w:tabs>
        <w:ind w:left="360" w:hanging="360"/>
      </w:pPr>
      <w:rPr>
        <w:sz w:val="20"/>
        <w:i w:val="false"/>
        <w:b w:val="false"/>
        <w:szCs w:val="20"/>
        <w:iCs w:val="false"/>
        <w:bCs w:val="false"/>
        <w:color w:val="auto"/>
      </w:rPr>
    </w:lvl>
    <w:lvl w:ilvl="2">
      <w:start w:val="1"/>
      <w:numFmt w:val="decimal"/>
      <w:lvlText w:val="%1.%2.%3"/>
      <w:lvlJc w:val="left"/>
      <w:pPr>
        <w:tabs>
          <w:tab w:val="num" w:pos="0"/>
        </w:tabs>
        <w:ind w:left="720" w:hanging="720"/>
      </w:pPr>
      <w:rPr>
        <w:sz w:val="20"/>
        <w:i w:val="false"/>
        <w:b/>
        <w:szCs w:val="20"/>
        <w:iCs w:val="false"/>
        <w:color w:val="3465A4"/>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5"/>
      <w:numFmt w:val="decimal"/>
      <w:lvlText w:val="%1"/>
      <w:lvlJc w:val="left"/>
      <w:pPr>
        <w:tabs>
          <w:tab w:val="num" w:pos="0"/>
        </w:tabs>
        <w:ind w:left="360" w:hanging="360"/>
      </w:pPr>
      <w:rPr/>
    </w:lvl>
    <w:lvl w:ilvl="1">
      <w:start w:val="1"/>
      <w:numFmt w:val="decimal"/>
      <w:lvlText w:val="%1.%2"/>
      <w:lvlJc w:val="left"/>
      <w:pPr>
        <w:tabs>
          <w:tab w:val="num" w:pos="0"/>
        </w:tabs>
        <w:ind w:left="502" w:hanging="360"/>
      </w:pPr>
      <w:rPr>
        <w:sz w:val="22"/>
        <w:b/>
        <w:szCs w:val="22"/>
        <w:color w:val="auto"/>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572" w:hanging="72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500" w:hanging="108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428" w:hanging="1440"/>
      </w:pPr>
      <w:rPr/>
    </w:lvl>
    <w:lvl w:ilvl="8">
      <w:start w:val="1"/>
      <w:numFmt w:val="decimal"/>
      <w:lvlText w:val="%1.%2.%3.%4.%5.%6.%7.%8.%9"/>
      <w:lvlJc w:val="left"/>
      <w:pPr>
        <w:tabs>
          <w:tab w:val="num" w:pos="0"/>
        </w:tabs>
        <w:ind w:left="4072" w:hanging="1800"/>
      </w:pPr>
      <w:rPr/>
    </w:lvl>
  </w:abstractNum>
  <w:abstractNum w:abstractNumId="17">
    <w:lvl w:ilvl="0">
      <w:start w:val="8"/>
      <w:numFmt w:val="decimal"/>
      <w:lvlText w:val="%1"/>
      <w:lvlJc w:val="left"/>
      <w:pPr>
        <w:tabs>
          <w:tab w:val="num" w:pos="0"/>
        </w:tabs>
        <w:ind w:left="360" w:hanging="360"/>
      </w:pPr>
      <w:rPr>
        <w:b/>
        <w:rFonts w:eastAsia="Times New Roman"/>
        <w:color w:val="0000FF"/>
      </w:rPr>
    </w:lvl>
    <w:lvl w:ilvl="1">
      <w:start w:val="2"/>
      <w:numFmt w:val="decimal"/>
      <w:lvlText w:val="%1.%2"/>
      <w:lvlJc w:val="left"/>
      <w:pPr>
        <w:tabs>
          <w:tab w:val="num" w:pos="0"/>
        </w:tabs>
        <w:ind w:left="4897" w:hanging="360"/>
      </w:pPr>
      <w:rPr>
        <w:i w:val="false"/>
        <w:b/>
        <w:rFonts w:eastAsia="Times New Roman"/>
        <w:color w:val="auto"/>
      </w:rPr>
    </w:lvl>
    <w:lvl w:ilvl="2">
      <w:start w:val="1"/>
      <w:numFmt w:val="lowerLetter"/>
      <w:lvlText w:val="%3)"/>
      <w:lvlJc w:val="left"/>
      <w:pPr>
        <w:tabs>
          <w:tab w:val="num" w:pos="0"/>
        </w:tabs>
        <w:ind w:left="9794" w:hanging="720"/>
      </w:pPr>
      <w:rPr>
        <w:sz w:val="22"/>
        <w:b w:val="false"/>
        <w:szCs w:val="22"/>
        <w:bCs w:val="false"/>
        <w:rFonts w:ascii="Times New Roman" w:hAnsi="Times New Roman" w:eastAsia="" w:cs="Arial" w:eastAsiaTheme="minorEastAsia"/>
        <w:color w:val="auto"/>
      </w:rPr>
    </w:lvl>
    <w:lvl w:ilvl="3">
      <w:start w:val="1"/>
      <w:numFmt w:val="decimal"/>
      <w:lvlText w:val="%1.%2.%3.%4"/>
      <w:lvlJc w:val="left"/>
      <w:pPr>
        <w:tabs>
          <w:tab w:val="num" w:pos="0"/>
        </w:tabs>
        <w:ind w:left="14331" w:hanging="720"/>
      </w:pPr>
      <w:rPr>
        <w:b/>
        <w:rFonts w:eastAsia="Times New Roman"/>
        <w:color w:val="auto"/>
      </w:rPr>
    </w:lvl>
    <w:lvl w:ilvl="4">
      <w:start w:val="1"/>
      <w:numFmt w:val="decimal"/>
      <w:lvlText w:val="%1.%2.%3.%4.%5"/>
      <w:lvlJc w:val="left"/>
      <w:pPr>
        <w:tabs>
          <w:tab w:val="num" w:pos="0"/>
        </w:tabs>
        <w:ind w:left="19228" w:hanging="1080"/>
      </w:pPr>
      <w:rPr>
        <w:b w:val="false"/>
        <w:rFonts w:eastAsia="Times New Roman"/>
        <w:color w:val="auto"/>
      </w:rPr>
    </w:lvl>
    <w:lvl w:ilvl="5">
      <w:start w:val="1"/>
      <w:numFmt w:val="decimal"/>
      <w:lvlText w:val="%1.%2.%3.%4.%5.%6"/>
      <w:lvlJc w:val="left"/>
      <w:pPr>
        <w:tabs>
          <w:tab w:val="num" w:pos="0"/>
        </w:tabs>
        <w:ind w:left="23765" w:hanging="1080"/>
      </w:pPr>
      <w:rPr>
        <w:b w:val="false"/>
        <w:rFonts w:eastAsia="Times New Roman"/>
        <w:color w:val="auto"/>
      </w:rPr>
    </w:lvl>
    <w:lvl w:ilvl="6">
      <w:start w:val="1"/>
      <w:numFmt w:val="decimal"/>
      <w:lvlText w:val="%1.%2.%3.%4.%5.%6.%7"/>
      <w:lvlJc w:val="left"/>
      <w:pPr>
        <w:tabs>
          <w:tab w:val="num" w:pos="0"/>
        </w:tabs>
        <w:ind w:left="28662" w:hanging="1440"/>
      </w:pPr>
      <w:rPr>
        <w:b w:val="false"/>
        <w:rFonts w:eastAsia="Times New Roman"/>
        <w:color w:val="auto"/>
      </w:rPr>
    </w:lvl>
    <w:lvl w:ilvl="7">
      <w:start w:val="1"/>
      <w:numFmt w:val="decimal"/>
      <w:lvlText w:val="%1.%2.%3.%4.%5.%6.%7.%8"/>
      <w:lvlJc w:val="left"/>
      <w:pPr>
        <w:tabs>
          <w:tab w:val="num" w:pos="0"/>
        </w:tabs>
        <w:ind w:left="-32337" w:hanging="1440"/>
      </w:pPr>
      <w:rPr>
        <w:b w:val="false"/>
        <w:rFonts w:eastAsia="Times New Roman"/>
        <w:color w:val="auto"/>
      </w:rPr>
    </w:lvl>
    <w:lvl w:ilvl="8">
      <w:start w:val="1"/>
      <w:numFmt w:val="decimal"/>
      <w:lvlText w:val="%1.%2.%3.%4.%5.%6.%7.%8.%9"/>
      <w:lvlJc w:val="left"/>
      <w:pPr>
        <w:tabs>
          <w:tab w:val="num" w:pos="0"/>
        </w:tabs>
        <w:ind w:left="-27440" w:hanging="1800"/>
      </w:pPr>
      <w:rPr>
        <w:b w:val="false"/>
        <w:rFonts w:eastAsia="Times New Roman"/>
        <w:color w:val="auto"/>
      </w:rPr>
    </w:lvl>
  </w:abstractNum>
  <w:abstractNum w:abstractNumId="18">
    <w:lvl w:ilvl="0">
      <w:start w:val="7"/>
      <w:numFmt w:val="decimal"/>
      <w:lvlText w:val="%1"/>
      <w:lvlJc w:val="left"/>
      <w:pPr>
        <w:tabs>
          <w:tab w:val="num" w:pos="0"/>
        </w:tabs>
        <w:ind w:left="1462" w:hanging="185"/>
      </w:pPr>
      <w:rPr>
        <w:sz w:val="22"/>
        <w:b/>
        <w:szCs w:val="22"/>
        <w:bCs/>
        <w:w w:val="100"/>
        <w:rFonts w:ascii="Arial" w:hAnsi="Arial" w:eastAsia="Arial" w:cs="Arial"/>
        <w:color w:val="0000FF"/>
      </w:rPr>
    </w:lvl>
    <w:lvl w:ilvl="1">
      <w:start w:val="19"/>
      <w:numFmt w:val="decimal"/>
      <w:lvlText w:val="%1.%2"/>
      <w:lvlJc w:val="left"/>
      <w:pPr>
        <w:tabs>
          <w:tab w:val="num" w:pos="0"/>
        </w:tabs>
        <w:ind w:left="133" w:hanging="440"/>
      </w:pPr>
      <w:rPr>
        <w:sz w:val="20"/>
        <w:i w:val="false"/>
        <w:b/>
        <w:szCs w:val="20"/>
        <w:bCs/>
        <w:w w:val="100"/>
        <w:rFonts w:ascii="Arial" w:hAnsi="Arial" w:eastAsia="Arial" w:cs="Arial"/>
        <w:color w:val="auto"/>
      </w:rPr>
    </w:lvl>
    <w:lvl w:ilvl="2">
      <w:start w:val="1"/>
      <w:numFmt w:val="lowerLetter"/>
      <w:lvlText w:val="%3)"/>
      <w:lvlJc w:val="left"/>
      <w:pPr>
        <w:tabs>
          <w:tab w:val="num" w:pos="0"/>
        </w:tabs>
        <w:ind w:left="3828" w:hanging="567"/>
      </w:pPr>
      <w:rPr>
        <w:sz w:val="22"/>
        <w:spacing w:val="-1"/>
        <w:i w:val="false"/>
        <w:b w:val="false"/>
        <w:szCs w:val="22"/>
        <w:bCs w:val="false"/>
        <w:w w:val="100"/>
        <w:rFonts w:ascii="Times New Roman" w:hAnsi="Times New Roman" w:eastAsia="" w:cs="Arial" w:eastAsiaTheme="minorEastAsia"/>
      </w:rPr>
    </w:lvl>
    <w:lvl w:ilvl="3">
      <w:start w:val="0"/>
      <w:numFmt w:val="bullet"/>
      <w:lvlText w:val=""/>
      <w:lvlJc w:val="left"/>
      <w:pPr>
        <w:tabs>
          <w:tab w:val="num" w:pos="0"/>
        </w:tabs>
        <w:ind w:left="1515" w:hanging="567"/>
      </w:pPr>
      <w:rPr>
        <w:rFonts w:ascii="Symbol" w:hAnsi="Symbol" w:cs="Symbol" w:hint="default"/>
      </w:rPr>
    </w:lvl>
    <w:lvl w:ilvl="4">
      <w:start w:val="0"/>
      <w:numFmt w:val="bullet"/>
      <w:lvlText w:val=""/>
      <w:lvlJc w:val="left"/>
      <w:pPr>
        <w:tabs>
          <w:tab w:val="num" w:pos="0"/>
        </w:tabs>
        <w:ind w:left="2711" w:hanging="567"/>
      </w:pPr>
      <w:rPr>
        <w:rFonts w:ascii="Symbol" w:hAnsi="Symbol" w:cs="Symbol" w:hint="default"/>
      </w:rPr>
    </w:lvl>
    <w:lvl w:ilvl="5">
      <w:start w:val="0"/>
      <w:numFmt w:val="bullet"/>
      <w:lvlText w:val=""/>
      <w:lvlJc w:val="left"/>
      <w:pPr>
        <w:tabs>
          <w:tab w:val="num" w:pos="0"/>
        </w:tabs>
        <w:ind w:left="3907" w:hanging="567"/>
      </w:pPr>
      <w:rPr>
        <w:rFonts w:ascii="Symbol" w:hAnsi="Symbol" w:cs="Symbol" w:hint="default"/>
      </w:rPr>
    </w:lvl>
    <w:lvl w:ilvl="6">
      <w:start w:val="0"/>
      <w:numFmt w:val="bullet"/>
      <w:lvlText w:val=""/>
      <w:lvlJc w:val="left"/>
      <w:pPr>
        <w:tabs>
          <w:tab w:val="num" w:pos="0"/>
        </w:tabs>
        <w:ind w:left="5103" w:hanging="567"/>
      </w:pPr>
      <w:rPr>
        <w:rFonts w:ascii="Symbol" w:hAnsi="Symbol" w:cs="Symbol" w:hint="default"/>
      </w:rPr>
    </w:lvl>
    <w:lvl w:ilvl="7">
      <w:start w:val="0"/>
      <w:numFmt w:val="bullet"/>
      <w:lvlText w:val=""/>
      <w:lvlJc w:val="left"/>
      <w:pPr>
        <w:tabs>
          <w:tab w:val="num" w:pos="0"/>
        </w:tabs>
        <w:ind w:left="6299" w:hanging="567"/>
      </w:pPr>
      <w:rPr>
        <w:rFonts w:ascii="Symbol" w:hAnsi="Symbol" w:cs="Symbol" w:hint="default"/>
      </w:rPr>
    </w:lvl>
    <w:lvl w:ilvl="8">
      <w:start w:val="0"/>
      <w:numFmt w:val="bullet"/>
      <w:lvlText w:val=""/>
      <w:lvlJc w:val="left"/>
      <w:pPr>
        <w:tabs>
          <w:tab w:val="num" w:pos="0"/>
        </w:tabs>
        <w:ind w:left="7494" w:hanging="567"/>
      </w:pPr>
      <w:rPr>
        <w:rFonts w:ascii="Symbol" w:hAnsi="Symbol" w:cs="Symbol" w:hint="default"/>
      </w:rPr>
    </w:lvl>
  </w:abstractNum>
  <w:abstractNum w:abstractNumId="19">
    <w:lvl w:ilvl="0">
      <w:start w:val="7"/>
      <w:numFmt w:val="decimal"/>
      <w:lvlText w:val="%1"/>
      <w:lvlJc w:val="left"/>
      <w:pPr>
        <w:tabs>
          <w:tab w:val="num" w:pos="0"/>
        </w:tabs>
        <w:ind w:left="1462" w:hanging="185"/>
      </w:pPr>
      <w:rPr>
        <w:sz w:val="22"/>
        <w:b/>
        <w:szCs w:val="22"/>
        <w:bCs/>
        <w:w w:val="100"/>
        <w:rFonts w:ascii="Arial" w:hAnsi="Arial" w:eastAsia="Arial" w:cs="Arial"/>
        <w:color w:val="0000FF"/>
      </w:rPr>
    </w:lvl>
    <w:lvl w:ilvl="1">
      <w:start w:val="19"/>
      <w:numFmt w:val="decimal"/>
      <w:lvlText w:val="%1.%2"/>
      <w:lvlJc w:val="left"/>
      <w:pPr>
        <w:tabs>
          <w:tab w:val="num" w:pos="0"/>
        </w:tabs>
        <w:ind w:left="133" w:hanging="440"/>
      </w:pPr>
      <w:rPr>
        <w:sz w:val="20"/>
        <w:i w:val="false"/>
        <w:b/>
        <w:szCs w:val="20"/>
        <w:bCs/>
        <w:w w:val="100"/>
        <w:rFonts w:ascii="Arial" w:hAnsi="Arial" w:eastAsia="Arial" w:cs="Arial"/>
        <w:color w:val="auto"/>
      </w:rPr>
    </w:lvl>
    <w:lvl w:ilvl="2">
      <w:start w:val="1"/>
      <w:numFmt w:val="lowerLetter"/>
      <w:lvlText w:val="%3)"/>
      <w:lvlJc w:val="left"/>
      <w:pPr>
        <w:tabs>
          <w:tab w:val="num" w:pos="0"/>
        </w:tabs>
        <w:ind w:left="3828" w:hanging="567"/>
      </w:pPr>
      <w:rPr>
        <w:sz w:val="22"/>
        <w:spacing w:val="-1"/>
        <w:i w:val="false"/>
        <w:b w:val="false"/>
        <w:szCs w:val="22"/>
        <w:bCs w:val="false"/>
        <w:w w:val="100"/>
        <w:rFonts w:ascii="Times New Roman" w:hAnsi="Times New Roman" w:eastAsia="" w:cs="Arial" w:eastAsiaTheme="minorEastAsia"/>
      </w:rPr>
    </w:lvl>
    <w:lvl w:ilvl="3">
      <w:start w:val="0"/>
      <w:numFmt w:val="bullet"/>
      <w:lvlText w:val=""/>
      <w:lvlJc w:val="left"/>
      <w:pPr>
        <w:tabs>
          <w:tab w:val="num" w:pos="0"/>
        </w:tabs>
        <w:ind w:left="1515" w:hanging="567"/>
      </w:pPr>
      <w:rPr>
        <w:rFonts w:ascii="Symbol" w:hAnsi="Symbol" w:cs="Symbol" w:hint="default"/>
      </w:rPr>
    </w:lvl>
    <w:lvl w:ilvl="4">
      <w:start w:val="0"/>
      <w:numFmt w:val="bullet"/>
      <w:lvlText w:val=""/>
      <w:lvlJc w:val="left"/>
      <w:pPr>
        <w:tabs>
          <w:tab w:val="num" w:pos="0"/>
        </w:tabs>
        <w:ind w:left="2711" w:hanging="567"/>
      </w:pPr>
      <w:rPr>
        <w:rFonts w:ascii="Symbol" w:hAnsi="Symbol" w:cs="Symbol" w:hint="default"/>
      </w:rPr>
    </w:lvl>
    <w:lvl w:ilvl="5">
      <w:start w:val="0"/>
      <w:numFmt w:val="bullet"/>
      <w:lvlText w:val=""/>
      <w:lvlJc w:val="left"/>
      <w:pPr>
        <w:tabs>
          <w:tab w:val="num" w:pos="0"/>
        </w:tabs>
        <w:ind w:left="3907" w:hanging="567"/>
      </w:pPr>
      <w:rPr>
        <w:rFonts w:ascii="Symbol" w:hAnsi="Symbol" w:cs="Symbol" w:hint="default"/>
      </w:rPr>
    </w:lvl>
    <w:lvl w:ilvl="6">
      <w:start w:val="0"/>
      <w:numFmt w:val="bullet"/>
      <w:lvlText w:val=""/>
      <w:lvlJc w:val="left"/>
      <w:pPr>
        <w:tabs>
          <w:tab w:val="num" w:pos="0"/>
        </w:tabs>
        <w:ind w:left="5103" w:hanging="567"/>
      </w:pPr>
      <w:rPr>
        <w:rFonts w:ascii="Symbol" w:hAnsi="Symbol" w:cs="Symbol" w:hint="default"/>
      </w:rPr>
    </w:lvl>
    <w:lvl w:ilvl="7">
      <w:start w:val="0"/>
      <w:numFmt w:val="bullet"/>
      <w:lvlText w:val=""/>
      <w:lvlJc w:val="left"/>
      <w:pPr>
        <w:tabs>
          <w:tab w:val="num" w:pos="0"/>
        </w:tabs>
        <w:ind w:left="6299" w:hanging="567"/>
      </w:pPr>
      <w:rPr>
        <w:rFonts w:ascii="Symbol" w:hAnsi="Symbol" w:cs="Symbol" w:hint="default"/>
      </w:rPr>
    </w:lvl>
    <w:lvl w:ilvl="8">
      <w:start w:val="0"/>
      <w:numFmt w:val="bullet"/>
      <w:lvlText w:val=""/>
      <w:lvlJc w:val="left"/>
      <w:pPr>
        <w:tabs>
          <w:tab w:val="num" w:pos="0"/>
        </w:tabs>
        <w:ind w:left="7494" w:hanging="567"/>
      </w:pPr>
      <w:rPr>
        <w:rFonts w:ascii="Symbol" w:hAnsi="Symbol" w:cs="Symbol" w:hint="default"/>
      </w:rPr>
    </w:lvl>
  </w:abstractNum>
  <w:abstractNum w:abstractNumId="20">
    <w:lvl w:ilvl="0">
      <w:start w:val="12"/>
      <w:numFmt w:val="decimal"/>
      <w:lvlText w:val="%1"/>
      <w:lvlJc w:val="left"/>
      <w:pPr>
        <w:tabs>
          <w:tab w:val="num" w:pos="0"/>
        </w:tabs>
        <w:ind w:left="420" w:hanging="420"/>
      </w:pPr>
      <w:rPr/>
    </w:lvl>
    <w:lvl w:ilvl="1">
      <w:start w:val="1"/>
      <w:numFmt w:val="decimal"/>
      <w:lvlText w:val="%1.%2"/>
      <w:lvlJc w:val="left"/>
      <w:pPr>
        <w:tabs>
          <w:tab w:val="num" w:pos="0"/>
        </w:tabs>
        <w:ind w:left="420" w:hanging="420"/>
      </w:pPr>
      <w:rPr>
        <w:i w:val="false"/>
        <w:b w:val="false"/>
        <w:iCs w:val="false"/>
        <w:bCs w:val="false"/>
        <w:color w:val="auto"/>
      </w:rPr>
    </w:lvl>
    <w:lvl w:ilvl="2">
      <w:start w:val="1"/>
      <w:numFmt w:val="decimal"/>
      <w:lvlText w:val="%1.%2.%3"/>
      <w:lvlJc w:val="left"/>
      <w:pPr>
        <w:tabs>
          <w:tab w:val="num" w:pos="0"/>
        </w:tabs>
        <w:ind w:left="720" w:hanging="720"/>
      </w:pPr>
      <w:rPr>
        <w:b w:val="false"/>
        <w:bCs w:val="false"/>
        <w:rFonts w:ascii="Times New Roman" w:hAnsi="Times New Roman"/>
        <w:color w:val="auto"/>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1">
    <w:lvl w:ilvl="0">
      <w:start w:val="13"/>
      <w:numFmt w:val="decimal"/>
      <w:lvlText w:val="%1"/>
      <w:lvlJc w:val="left"/>
      <w:pPr>
        <w:tabs>
          <w:tab w:val="num" w:pos="0"/>
        </w:tabs>
        <w:ind w:left="420" w:hanging="420"/>
      </w:pPr>
      <w:rPr>
        <w:rFonts w:eastAsia="Calibri" w:eastAsiaTheme="minorHAnsi"/>
      </w:rPr>
    </w:lvl>
    <w:lvl w:ilvl="1">
      <w:start w:val="1"/>
      <w:numFmt w:val="decimal"/>
      <w:lvlText w:val="%1.%2"/>
      <w:lvlJc w:val="left"/>
      <w:pPr>
        <w:tabs>
          <w:tab w:val="num" w:pos="0"/>
        </w:tabs>
        <w:ind w:left="4957" w:hanging="420"/>
      </w:pPr>
      <w:rPr>
        <w:b/>
        <w:rFonts w:eastAsia="Calibri" w:eastAsiaTheme="minorHAnsi"/>
      </w:rPr>
    </w:lvl>
    <w:lvl w:ilvl="2">
      <w:start w:val="1"/>
      <w:numFmt w:val="decimal"/>
      <w:lvlText w:val="%1.%2.%3"/>
      <w:lvlJc w:val="left"/>
      <w:pPr>
        <w:tabs>
          <w:tab w:val="num" w:pos="0"/>
        </w:tabs>
        <w:ind w:left="9794" w:hanging="720"/>
      </w:pPr>
      <w:rPr>
        <w:rFonts w:eastAsia="Calibri" w:eastAsiaTheme="minorHAnsi"/>
      </w:rPr>
    </w:lvl>
    <w:lvl w:ilvl="3">
      <w:start w:val="1"/>
      <w:numFmt w:val="decimal"/>
      <w:lvlText w:val="%1.%2.%3.%4"/>
      <w:lvlJc w:val="left"/>
      <w:pPr>
        <w:tabs>
          <w:tab w:val="num" w:pos="0"/>
        </w:tabs>
        <w:ind w:left="14331" w:hanging="720"/>
      </w:pPr>
      <w:rPr>
        <w:rFonts w:eastAsia="Calibri" w:eastAsiaTheme="minorHAnsi"/>
      </w:rPr>
    </w:lvl>
    <w:lvl w:ilvl="4">
      <w:start w:val="1"/>
      <w:numFmt w:val="decimal"/>
      <w:lvlText w:val="%1.%2.%3.%4.%5"/>
      <w:lvlJc w:val="left"/>
      <w:pPr>
        <w:tabs>
          <w:tab w:val="num" w:pos="0"/>
        </w:tabs>
        <w:ind w:left="19228" w:hanging="1080"/>
      </w:pPr>
      <w:rPr>
        <w:rFonts w:eastAsia="Calibri" w:eastAsiaTheme="minorHAnsi"/>
      </w:rPr>
    </w:lvl>
    <w:lvl w:ilvl="5">
      <w:start w:val="1"/>
      <w:numFmt w:val="decimal"/>
      <w:lvlText w:val="%1.%2.%3.%4.%5.%6"/>
      <w:lvlJc w:val="left"/>
      <w:pPr>
        <w:tabs>
          <w:tab w:val="num" w:pos="0"/>
        </w:tabs>
        <w:ind w:left="23765" w:hanging="1080"/>
      </w:pPr>
      <w:rPr>
        <w:rFonts w:eastAsia="Calibri" w:eastAsiaTheme="minorHAnsi"/>
      </w:rPr>
    </w:lvl>
    <w:lvl w:ilvl="6">
      <w:start w:val="1"/>
      <w:numFmt w:val="decimal"/>
      <w:lvlText w:val="%1.%2.%3.%4.%5.%6.%7"/>
      <w:lvlJc w:val="left"/>
      <w:pPr>
        <w:tabs>
          <w:tab w:val="num" w:pos="0"/>
        </w:tabs>
        <w:ind w:left="28662" w:hanging="1440"/>
      </w:pPr>
      <w:rPr>
        <w:rFonts w:eastAsia="Calibri" w:eastAsiaTheme="minorHAnsi"/>
      </w:rPr>
    </w:lvl>
    <w:lvl w:ilvl="7">
      <w:start w:val="1"/>
      <w:numFmt w:val="decimal"/>
      <w:lvlText w:val="%1.%2.%3.%4.%5.%6.%7.%8"/>
      <w:lvlJc w:val="left"/>
      <w:pPr>
        <w:tabs>
          <w:tab w:val="num" w:pos="0"/>
        </w:tabs>
        <w:ind w:left="-32337" w:hanging="1440"/>
      </w:pPr>
      <w:rPr>
        <w:rFonts w:eastAsia="Calibri" w:eastAsiaTheme="minorHAnsi"/>
      </w:rPr>
    </w:lvl>
    <w:lvl w:ilvl="8">
      <w:start w:val="1"/>
      <w:numFmt w:val="decimal"/>
      <w:lvlText w:val="%1.%2.%3.%4.%5.%6.%7.%8.%9"/>
      <w:lvlJc w:val="left"/>
      <w:pPr>
        <w:tabs>
          <w:tab w:val="num" w:pos="0"/>
        </w:tabs>
        <w:ind w:left="-27440" w:hanging="1800"/>
      </w:pPr>
      <w:rPr>
        <w:rFonts w:eastAsia="Calibri" w:eastAsiaTheme="minorHAnsi"/>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en-US" w:bidi="ar-SA"/>
    </w:rPr>
  </w:style>
  <w:style w:type="paragraph" w:styleId="Ttulo1">
    <w:name w:val="Heading 1"/>
    <w:basedOn w:val="Normal"/>
    <w:uiPriority w:val="9"/>
    <w:qFormat/>
    <w:pPr>
      <w:ind w:left="1766" w:hanging="0"/>
      <w:jc w:val="center"/>
      <w:outlineLvl w:val="0"/>
    </w:pPr>
    <w:rPr>
      <w:b/>
      <w:bCs/>
      <w:sz w:val="24"/>
      <w:szCs w:val="24"/>
    </w:rPr>
  </w:style>
  <w:style w:type="paragraph" w:styleId="Ttulo3">
    <w:name w:val="Heading 3"/>
    <w:basedOn w:val="Ttulo"/>
    <w:next w:val="Corpodotex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Smbolosdenumerao">
    <w:name w:val="Símbolos de numeração"/>
    <w:qFormat/>
    <w:rPr/>
  </w:style>
  <w:style w:type="character" w:styleId="Nfase">
    <w:name w:val="Emphasis"/>
    <w:qFormat/>
    <w:rPr>
      <w:i/>
      <w:iCs/>
    </w:rPr>
  </w:style>
  <w:style w:type="character" w:styleId="CorpodetextoChar">
    <w:name w:val="Corpo de texto Char"/>
    <w:basedOn w:val="DefaultParagraphFont"/>
    <w:qFormat/>
    <w:rPr>
      <w:rFonts w:ascii="Times New Roman" w:hAnsi="Times New Roman"/>
      <w:sz w:val="24"/>
      <w:szCs w:val="24"/>
      <w:lang w:eastAsia="pt-BR"/>
    </w:rPr>
  </w:style>
  <w:style w:type="character" w:styleId="LinkdaInternet">
    <w:name w:val="Hyperlink"/>
    <w:rPr>
      <w:color w:val="000080"/>
      <w:u w:val="single"/>
    </w:rPr>
  </w:style>
  <w:style w:type="character" w:styleId="WW8Num5z0">
    <w:name w:val="WW8Num5z0"/>
    <w:qFormat/>
    <w:rPr/>
  </w:style>
  <w:style w:type="character" w:styleId="Refdecomentrio">
    <w:name w:val="Ref. de comentário"/>
    <w:qFormat/>
    <w:rPr>
      <w:sz w:val="16"/>
      <w:szCs w:val="16"/>
    </w:rPr>
  </w:style>
  <w:style w:type="character" w:styleId="WW8Num31z0">
    <w:name w:val="WW8Num31z0"/>
    <w:qFormat/>
    <w:rPr/>
  </w:style>
  <w:style w:type="character" w:styleId="WW8Num7z0">
    <w:name w:val="WW8Num7z0"/>
    <w:qFormat/>
    <w:rPr/>
  </w:style>
  <w:style w:type="character" w:styleId="WW8Num22z0">
    <w:name w:val="WW8Num22z0"/>
    <w:qFormat/>
    <w:rPr/>
  </w:style>
  <w:style w:type="character" w:styleId="WW8Num22z1">
    <w:name w:val="WW8Num22z1"/>
    <w:qFormat/>
    <w:rPr>
      <w:sz w:val="22"/>
      <w:szCs w:val="22"/>
    </w:rPr>
  </w:style>
  <w:style w:type="character" w:styleId="WW8Num14z0">
    <w:name w:val="WW8Num14z0"/>
    <w:qFormat/>
    <w:rPr>
      <w:sz w:val="24"/>
    </w:rPr>
  </w:style>
  <w:style w:type="character" w:styleId="WW8Num14z1">
    <w:name w:val="WW8Num14z1"/>
    <w:qFormat/>
    <w:rPr>
      <w:sz w:val="22"/>
      <w:szCs w:val="22"/>
    </w:rPr>
  </w:style>
  <w:style w:type="character" w:styleId="WW8Num24z0">
    <w:name w:val="WW8Num24z0"/>
    <w:qFormat/>
    <w:rPr>
      <w:b/>
      <w:bCs/>
    </w:rPr>
  </w:style>
  <w:style w:type="character" w:styleId="WW8Num24z1">
    <w:name w:val="WW8Num24z1"/>
    <w:qFormat/>
    <w:rPr/>
  </w:style>
  <w:style w:type="character" w:styleId="Fontepargpadro">
    <w:name w:val="Fonte parág. padrão"/>
    <w:qFormat/>
    <w:rPr/>
  </w:style>
  <w:style w:type="character" w:styleId="Strong">
    <w:name w:val="Strong"/>
    <w:qFormat/>
    <w:rPr>
      <w:b/>
      <w:bCs/>
    </w:rPr>
  </w:style>
  <w:style w:type="character" w:styleId="FontStyle18">
    <w:name w:val="Font Style18"/>
    <w:qFormat/>
    <w:rPr>
      <w:rFonts w:ascii="Arial" w:hAnsi="Arial" w:cs="Arial"/>
      <w:b/>
      <w:bCs/>
      <w:sz w:val="18"/>
      <w:szCs w:val="18"/>
    </w:rPr>
  </w:style>
  <w:style w:type="character" w:styleId="FontStyle22">
    <w:name w:val="Font Style22"/>
    <w:qFormat/>
    <w:rPr>
      <w:rFonts w:ascii="Arial" w:hAnsi="Arial" w:cs="Arial"/>
      <w:sz w:val="18"/>
      <w:szCs w:val="18"/>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uiPriority w:val="10"/>
    <w:qFormat/>
    <w:pPr>
      <w:spacing w:before="71" w:after="0"/>
      <w:ind w:left="2278" w:hanging="0"/>
    </w:pPr>
    <w:rPr>
      <w:b/>
      <w:bCs/>
      <w:sz w:val="32"/>
      <w:szCs w:val="32"/>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Calibri" w:asciiTheme="minorHAnsi" w:hAnsiTheme="minorHAnsi"/>
      <w:color w:val="auto"/>
      <w:kern w:val="0"/>
      <w:sz w:val="22"/>
      <w:szCs w:val="22"/>
      <w:lang w:val="pt-BR" w:eastAsia="en-US" w:bidi="ar-S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2"/>
      <w:szCs w:val="22"/>
      <w:lang w:val="pt-BR" w:eastAsia="pt-PT" w:bidi="pt-PT"/>
    </w:rPr>
  </w:style>
  <w:style w:type="paragraph" w:styleId="Textbody">
    <w:name w:val="Text body"/>
    <w:basedOn w:val="Standard"/>
    <w:qFormat/>
    <w:pPr/>
    <w:rPr>
      <w:sz w:val="24"/>
      <w:szCs w:val="24"/>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t-BR" w:eastAsia="en-US" w:bidi="ar-SA"/>
    </w:rPr>
  </w:style>
  <w:style w:type="paragraph" w:styleId="CabealhoeRodap">
    <w:name w:val="Cabeçalho e Rodapé"/>
    <w:basedOn w:val="Normal"/>
    <w:qFormat/>
    <w:pPr>
      <w:suppressLineNumbers/>
      <w:tabs>
        <w:tab w:val="clear" w:pos="720"/>
        <w:tab w:val="center" w:pos="5075" w:leader="none"/>
        <w:tab w:val="right" w:pos="10151" w:leader="none"/>
      </w:tabs>
    </w:pPr>
    <w:rPr/>
  </w:style>
  <w:style w:type="paragraph" w:styleId="Cabealho">
    <w:name w:val="Header"/>
    <w:basedOn w:val="CabealhoeRodap"/>
    <w:pPr>
      <w:suppressLineNumbers/>
    </w:pPr>
    <w:rPr/>
  </w:style>
  <w:style w:type="paragraph" w:styleId="PargrafodaLista">
    <w:name w:val="Parágrafo da Lista"/>
    <w:basedOn w:val="Normal"/>
    <w:qFormat/>
    <w:pPr>
      <w:spacing w:before="0" w:after="0"/>
      <w:ind w:left="720" w:hanging="0"/>
      <w:contextualSpacing/>
    </w:pPr>
    <w:rPr/>
  </w:style>
  <w:style w:type="paragraph" w:styleId="NormalWeb">
    <w:name w:val="Normal (Web)"/>
    <w:basedOn w:val="Normal"/>
    <w:qFormat/>
    <w:pPr>
      <w:spacing w:before="280" w:after="280"/>
    </w:pPr>
    <w:rPr/>
  </w:style>
  <w:style w:type="paragraph" w:styleId="Textodecomentrio">
    <w:name w:val="Texto de comentário"/>
    <w:basedOn w:val="Normal"/>
    <w:qFormat/>
    <w:pPr/>
    <w:rPr>
      <w:sz w:val="20"/>
      <w:szCs w:val="20"/>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Rodap">
    <w:name w:val="Footer"/>
    <w:basedOn w:val="Normal"/>
    <w:pPr>
      <w:tabs>
        <w:tab w:val="clear" w:pos="720"/>
        <w:tab w:val="center" w:pos="4252" w:leader="none"/>
        <w:tab w:val="right" w:pos="8504" w:leader="none"/>
      </w:tabs>
      <w:suppressAutoHyphens w:val="true"/>
      <w:spacing w:lineRule="auto" w:line="240" w:before="0" w:after="0"/>
    </w:pPr>
    <w:rPr/>
  </w:style>
  <w:style w:type="paragraph" w:styleId="NormalJustificado">
    <w:name w:val="Normal + Justificado"/>
    <w:basedOn w:val="Normal"/>
    <w:qFormat/>
    <w:pPr>
      <w:widowControl/>
      <w:suppressAutoHyphens w:val="true"/>
      <w:jc w:val="both"/>
    </w:pPr>
    <w:rPr>
      <w:rFonts w:ascii="Times New Roman" w:hAnsi="Times New Roman" w:eastAsia="Times New Roman" w:cs="Times New Roman"/>
      <w:b/>
      <w:sz w:val="20"/>
      <w:szCs w:val="20"/>
      <w:lang w:val="pt-BR" w:eastAsia="ar-SA"/>
    </w:rPr>
  </w:style>
  <w:style w:type="paragraph" w:styleId="Nivel01">
    <w:name w:val="Nivel 01"/>
    <w:basedOn w:val="Ttulo1"/>
    <w:next w:val="Normal"/>
    <w:qFormat/>
    <w:pPr>
      <w:widowControl/>
      <w:numPr>
        <w:ilvl w:val="0"/>
        <w:numId w:val="3"/>
      </w:numPr>
      <w:tabs>
        <w:tab w:val="clear" w:pos="720"/>
        <w:tab w:val="left" w:pos="567" w:leader="none"/>
      </w:tabs>
      <w:spacing w:before="240" w:after="0"/>
      <w:jc w:val="both"/>
    </w:pPr>
    <w:rPr>
      <w:rFonts w:ascii="Arial" w:hAnsi="Arial" w:cs="Arial"/>
      <w:color w:val="auto"/>
      <w:sz w:val="20"/>
      <w:szCs w:val="20"/>
      <w:lang w:val="pt-BR" w:eastAsia="pt-BR"/>
    </w:rPr>
  </w:style>
  <w:style w:type="paragraph" w:styleId="Nivel2">
    <w:name w:val="Nivel 2"/>
    <w:basedOn w:val="Normal"/>
    <w:qFormat/>
    <w:pPr>
      <w:widowControl/>
      <w:numPr>
        <w:ilvl w:val="1"/>
        <w:numId w:val="3"/>
      </w:numPr>
      <w:spacing w:lineRule="auto" w:line="276" w:before="120" w:after="120"/>
      <w:jc w:val="both"/>
    </w:pPr>
    <w:rPr>
      <w:rFonts w:eastAsia="" w:eastAsiaTheme="minorEastAsia"/>
      <w:color w:val="000000"/>
      <w:sz w:val="20"/>
      <w:szCs w:val="20"/>
      <w:lang w:val="pt-BR" w:eastAsia="pt-BR"/>
    </w:rPr>
  </w:style>
  <w:style w:type="paragraph" w:styleId="Nvel2Red">
    <w:name w:val="Nível 2 -Red"/>
    <w:basedOn w:val="Nivel2"/>
    <w:qFormat/>
    <w:pPr>
      <w:numPr>
        <w:ilvl w:val="1"/>
        <w:numId w:val="1"/>
      </w:numPr>
      <w:ind w:left="0" w:hanging="0"/>
    </w:pPr>
    <w:rPr>
      <w:rFonts w:eastAsia="Calibri" w:eastAsiaTheme="minorHAnsi"/>
      <w:i/>
      <w:iCs/>
      <w:color w:val="FF0000"/>
      <w:sz w:val="22"/>
      <w:szCs w:val="22"/>
      <w:lang w:val="en-US"/>
    </w:rPr>
  </w:style>
  <w:style w:type="paragraph" w:styleId="Nivel3">
    <w:name w:val="Nivel 3"/>
    <w:basedOn w:val="Normal"/>
    <w:qFormat/>
    <w:pPr>
      <w:widowControl/>
      <w:numPr>
        <w:ilvl w:val="2"/>
        <w:numId w:val="3"/>
      </w:numPr>
      <w:spacing w:lineRule="auto" w:line="276" w:before="120" w:after="120"/>
      <w:jc w:val="both"/>
    </w:pPr>
    <w:rPr>
      <w:rFonts w:eastAsia="" w:eastAsiaTheme="minorEastAsia"/>
      <w:color w:val="000000"/>
      <w:sz w:val="20"/>
      <w:szCs w:val="20"/>
      <w:lang w:val="pt-BR" w:eastAsia="pt-BR"/>
    </w:rPr>
  </w:style>
  <w:style w:type="paragraph" w:styleId="PlainText">
    <w:name w:val="Plain Text"/>
    <w:basedOn w:val="Normal"/>
    <w:qFormat/>
    <w:pPr>
      <w:widowControl/>
    </w:pPr>
    <w:rPr>
      <w:rFonts w:ascii="Consolas" w:hAnsi="Consolas" w:eastAsia="Calibri" w:cs="Times New Roman"/>
      <w:sz w:val="21"/>
      <w:szCs w:val="21"/>
      <w:lang w:val="pt-BR" w:eastAsia="pt-BR"/>
    </w:rPr>
  </w:style>
  <w:style w:type="paragraph" w:styleId="PADRO">
    <w:name w:val="PADRÃO"/>
    <w:qFormat/>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2"/>
      <w:lang w:val="pt-BR" w:eastAsia="en-US" w:bidi="ar-SA"/>
    </w:rPr>
  </w:style>
  <w:style w:type="paragraph" w:styleId="Nvel1SemNum">
    <w:name w:val="Nível 1-Sem Num"/>
    <w:basedOn w:val="Nivel01"/>
    <w:qFormat/>
    <w:pPr>
      <w:spacing w:lineRule="auto" w:line="240" w:before="240" w:after="0"/>
      <w:ind w:left="357" w:right="0" w:hanging="0"/>
      <w:outlineLvl w:val="1"/>
    </w:pPr>
    <w:rPr>
      <w:rFonts w:cs="Arial"/>
      <w:color w:val="FF0000"/>
      <w:kern w:val="2"/>
      <w:sz w:val="24"/>
      <w:szCs w:val="24"/>
      <w:lang w:bidi="hi-IN"/>
    </w:rPr>
  </w:style>
  <w:style w:type="paragraph" w:styleId="Nvel3R">
    <w:name w:val="Nível 3-R"/>
    <w:basedOn w:val="Nivel3"/>
    <w:qFormat/>
    <w:pPr>
      <w:numPr>
        <w:ilvl w:val="2"/>
        <w:numId w:val="12"/>
      </w:numPr>
      <w:ind w:left="425" w:hanging="0"/>
    </w:pPr>
    <w:rPr>
      <w:i/>
      <w:iCs/>
      <w:color w:val="FF0000"/>
    </w:rPr>
  </w:style>
  <w:style w:type="paragraph" w:styleId="Nivel4">
    <w:name w:val="Nivel 4"/>
    <w:basedOn w:val="Nivel3"/>
    <w:qFormat/>
    <w:pPr/>
    <w:rPr>
      <w:color w:val="auto"/>
    </w:rPr>
  </w:style>
  <w:style w:type="paragraph" w:styleId="Nvel4R">
    <w:name w:val="Nível 4-R"/>
    <w:basedOn w:val="Nivel4"/>
    <w:qFormat/>
    <w:pPr>
      <w:numPr>
        <w:ilvl w:val="3"/>
        <w:numId w:val="12"/>
      </w:numPr>
    </w:pPr>
    <w:rPr>
      <w:rFonts w:ascii="Arial" w:hAnsi="Arial" w:eastAsia="SimSun"/>
      <w:i/>
      <w:iCs/>
      <w:color w:val="FF0000"/>
      <w:kern w:val="2"/>
      <w:sz w:val="24"/>
      <w:szCs w:val="24"/>
      <w:lang w:bidi="hi-IN"/>
    </w:rPr>
  </w:style>
  <w:style w:type="paragraph" w:styleId="Ou">
    <w:name w:val="ou"/>
    <w:basedOn w:val="ListParagraph"/>
    <w:qFormat/>
    <w:pPr>
      <w:widowControl/>
      <w:spacing w:lineRule="auto" w:line="259" w:before="60" w:after="60"/>
      <w:ind w:left="0" w:hanging="0"/>
      <w:jc w:val="center"/>
    </w:pPr>
    <w:rPr>
      <w:b/>
      <w:bCs/>
      <w:i/>
      <w:iCs/>
      <w:color w:val="FF0000"/>
      <w:sz w:val="24"/>
      <w:szCs w:val="24"/>
      <w:u w:val="single"/>
      <w:lang w:val="pt-BR" w:eastAsia="pt-BR"/>
    </w:rPr>
  </w:style>
  <w:style w:type="paragraph" w:styleId="Heading11">
    <w:name w:val="Heading 11"/>
    <w:basedOn w:val="Normal"/>
    <w:qFormat/>
    <w:pPr>
      <w:suppressAutoHyphens w:val="false"/>
      <w:ind w:left="910" w:hanging="432"/>
      <w:outlineLvl w:val="1"/>
    </w:pPr>
    <w:rPr>
      <w:rFonts w:ascii="Times New Roman" w:hAnsi="Times New Roman" w:cs="Times New Roman"/>
      <w:b/>
      <w:bCs/>
      <w:color w:val="00000A"/>
      <w:sz w:val="32"/>
      <w:szCs w:val="32"/>
      <w:lang w:bidi="pt-BR"/>
    </w:rPr>
  </w:style>
  <w:style w:type="paragraph" w:styleId="Heading21">
    <w:name w:val="Heading 21"/>
    <w:basedOn w:val="Normal"/>
    <w:qFormat/>
    <w:pPr>
      <w:suppressAutoHyphens w:val="false"/>
      <w:ind w:left="670" w:hanging="0"/>
      <w:outlineLvl w:val="2"/>
    </w:pPr>
    <w:rPr>
      <w:rFonts w:ascii="Times New Roman" w:hAnsi="Times New Roman" w:cs="Times New Roman"/>
      <w:b/>
      <w:bCs/>
      <w:color w:val="00000A"/>
      <w:sz w:val="28"/>
      <w:szCs w:val="28"/>
      <w:lang w:bidi="pt-BR"/>
    </w:rPr>
  </w:style>
  <w:style w:type="paragraph" w:styleId="Western">
    <w:name w:val="western"/>
    <w:basedOn w:val="Normal"/>
    <w:qFormat/>
    <w:pPr>
      <w:suppressAutoHyphens w:val="false"/>
      <w:spacing w:beforeAutospacing="1" w:after="119"/>
    </w:pPr>
    <w:rPr>
      <w:rFonts w:ascii="Times New Roman" w:hAnsi="Times New Roman" w:cs="Times New Roman"/>
      <w:sz w:val="24"/>
    </w:rPr>
  </w:style>
  <w:style w:type="numbering" w:styleId="NoList" w:default="1">
    <w:name w:val="No List"/>
    <w:uiPriority w:val="99"/>
    <w:semiHidden/>
    <w:unhideWhenUsed/>
    <w:qFormat/>
  </w:style>
  <w:style w:type="numbering" w:styleId="WW8Num5">
    <w:name w:val="WW8Num5"/>
    <w:qFormat/>
  </w:style>
  <w:style w:type="numbering" w:styleId="WW8Num31">
    <w:name w:val="WW8Num31"/>
    <w:qFormat/>
  </w:style>
  <w:style w:type="numbering" w:styleId="WW8Num7">
    <w:name w:val="WW8Num7"/>
    <w:qFormat/>
  </w:style>
  <w:style w:type="numbering" w:styleId="WW8Num22">
    <w:name w:val="WW8Num22"/>
    <w:qFormat/>
  </w:style>
  <w:style w:type="numbering" w:styleId="WW8Num14">
    <w:name w:val="WW8Num14"/>
    <w:qFormat/>
  </w:style>
  <w:style w:type="numbering" w:styleId="WW8Num24">
    <w:name w:val="WW8Num24"/>
    <w:qFormat/>
  </w:style>
  <w:style w:type="numbering" w:styleId="WW8Num6">
    <w:name w:val="WW8Num6"/>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nj.jus.br/" TargetMode="External"/><Relationship Id="rId3" Type="http://schemas.openxmlformats.org/officeDocument/2006/relationships/header" Target="header1.xml"/><Relationship Id="rId4" Type="http://schemas.openxmlformats.org/officeDocument/2006/relationships/hyperlink" Target="https://www.planalto.gov.br/ccivil_03/leis/l8078compilado.htm" TargetMode="External"/><Relationship Id="rId5" Type="http://schemas.openxmlformats.org/officeDocument/2006/relationships/hyperlink" Target="http://www.planalto.gov.br/ccivil_03/LEIS/L6404consol.htm" TargetMode="External"/><Relationship Id="rId6" Type="http://schemas.openxmlformats.org/officeDocument/2006/relationships/hyperlink" Target="https://www.planalto.gov.br/ccivil_03/_ato2015-2018/2016/decreto/d8660.htm" TargetMode="External"/><Relationship Id="rId7" Type="http://schemas.openxmlformats.org/officeDocument/2006/relationships/hyperlink" Target="https://www.gov.br/empresas-e-negocios/pt-br/empreendedor" TargetMode="External"/><Relationship Id="rId8" Type="http://schemas.openxmlformats.org/officeDocument/2006/relationships/hyperlink" Target="https://www.gov.br/economia/pt-br/assuntos/drei/legislacao/arquivos/legislacoes-federais/indrei772020.pdf" TargetMode="External"/><Relationship Id="rId9" Type="http://schemas.openxmlformats.org/officeDocument/2006/relationships/hyperlink" Target="https://www.planalto.gov.br/ccivil_03/_ato2015-2018/2016/decreto/d8660.htm" TargetMode="External"/><Relationship Id="rId10"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l8078compilado.htm"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8078compilado.htm" TargetMode="Externa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6212</TotalTime>
  <Application>LibreOffice/7.4.6.2$Windows_X86_64 LibreOffice_project/5b1f5509c2decdade7fda905e3e1429a67acd63d</Application>
  <AppVersion>15.0000</AppVersion>
  <Pages>56</Pages>
  <Words>20393</Words>
  <Characters>115581</Characters>
  <CharactersWithSpaces>135469</CharactersWithSpaces>
  <Paragraphs>1018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2022-08-04T15:50:00Z</dcterms:created>
  <dc:creator>Windows 7</dc:creator>
  <dc:description/>
  <dc:language>pt-BR</dc:language>
  <cp:lastModifiedBy/>
  <cp:lastPrinted>2024-06-11T14:06:52Z</cp:lastPrinted>
  <dcterms:modified xsi:type="dcterms:W3CDTF">2024-06-12T11:02:49Z</dcterms:modified>
  <cp:revision>153</cp:revision>
  <dc:subject/>
  <dc:title>RELATÓRIO DE CONTROLE INTERNO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Writer</vt:lpwstr>
  </property>
  <property fmtid="{D5CDD505-2E9C-101B-9397-08002B2CF9AE}" pid="4" name="LastSaved">
    <vt:filetime>2021-12-07T00:00:00Z</vt:filetime>
  </property>
</Properties>
</file>